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B258" w14:textId="77777777" w:rsidR="00E00E98" w:rsidRPr="003D4620" w:rsidRDefault="00E00E98" w:rsidP="00E00E98">
      <w:pPr>
        <w:spacing w:after="0" w:line="240" w:lineRule="auto"/>
        <w:jc w:val="right"/>
      </w:pPr>
      <w:bookmarkStart w:id="0" w:name="_Hlk166145202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D6F241" wp14:editId="2A5154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380" cy="932815"/>
            <wp:effectExtent l="0" t="0" r="7620" b="635"/>
            <wp:wrapSquare wrapText="bothSides"/>
            <wp:docPr id="1484498837" name="Obraz 1484498837" descr="C:\Users\Kraina Sanu\Desktop\LOGO\230225_MR_Logotypy_wielofunduszz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ina Sanu\Desktop\LOGO\230225_MR_Logotypy_wielofunduszz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1F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</w:t>
      </w:r>
      <w:bookmarkEnd w:id="0"/>
    </w:p>
    <w:p w14:paraId="43ACCF9B" w14:textId="77777777" w:rsidR="00E00E98" w:rsidRDefault="00E00E98" w:rsidP="00E00E9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F1F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Pr="009F1F93">
        <w:rPr>
          <w:rFonts w:ascii="Times New Roman" w:hAnsi="Times New Roman" w:cs="Times New Roman"/>
          <w:b/>
          <w:sz w:val="20"/>
          <w:szCs w:val="20"/>
        </w:rPr>
        <w:t xml:space="preserve">Projekt </w:t>
      </w:r>
      <w:r w:rsidRPr="009F1F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57A54DE4" w14:textId="77777777" w:rsidR="00E00E98" w:rsidRDefault="00E00E98" w:rsidP="00E00E9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BAA02D5" w14:textId="77777777" w:rsidR="00E00E98" w:rsidRPr="00EE76F6" w:rsidRDefault="00E00E98" w:rsidP="00E00E9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7BA9F2E" w14:textId="77777777" w:rsidR="00E801C6" w:rsidRDefault="00B91FEA" w:rsidP="00B91FEA">
      <w:pPr>
        <w:spacing w:before="240"/>
        <w:jc w:val="center"/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</w:pPr>
      <w:r w:rsidRPr="00B91FEA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 xml:space="preserve">Lokalne Kryteria Wyboru </w:t>
      </w:r>
      <w:proofErr w:type="spellStart"/>
      <w:r w:rsidRPr="00B91FEA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>Grantobiorców</w:t>
      </w:r>
      <w:proofErr w:type="spellEnd"/>
      <w:r w:rsidRPr="00B91FEA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 xml:space="preserve"> ze środków Programu Regionalnego Fundusze Europejskie dla Podkarpacia na lata 2021 – 2027  </w:t>
      </w:r>
      <w:r w:rsidR="00E801C6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>(EFS+)</w:t>
      </w:r>
    </w:p>
    <w:p w14:paraId="7281E6B6" w14:textId="42B93F35" w:rsidR="00B91FEA" w:rsidRPr="00B91FEA" w:rsidRDefault="00B91FEA" w:rsidP="00B91FEA">
      <w:pPr>
        <w:spacing w:before="240"/>
        <w:jc w:val="center"/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Stowarzyszenia „Kraina Sanu” – Lokalna Grupa Działania </w:t>
      </w:r>
    </w:p>
    <w:p w14:paraId="1F974225" w14:textId="339E8878" w:rsidR="00B91FEA" w:rsidRPr="00B91FEA" w:rsidRDefault="00B91FEA" w:rsidP="00B91FEA">
      <w:pPr>
        <w:spacing w:before="240"/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</w:pPr>
      <w:r w:rsidRPr="00B91FEA">
        <w:rPr>
          <w:rFonts w:ascii="Times New Roman" w:eastAsia="Calibri" w:hAnsi="Times New Roman" w:cs="Times New Roman"/>
          <w:b/>
          <w:iCs/>
          <w:kern w:val="2"/>
          <w:sz w:val="28"/>
          <w:szCs w:val="28"/>
        </w:rPr>
        <w:t xml:space="preserve"> </w:t>
      </w:r>
    </w:p>
    <w:p w14:paraId="0A3245CE" w14:textId="4C2F5965" w:rsidR="00E00E98" w:rsidRDefault="00B91FEA" w:rsidP="00B91FEA">
      <w:pPr>
        <w:spacing w:before="240"/>
        <w:jc w:val="center"/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</w:pPr>
      <w:r w:rsidRPr="00B91FEA"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  <w:t>Przedsięwzięcie 1.2 Rozwój zdolności uczniów poza edukacją formalną</w:t>
      </w:r>
    </w:p>
    <w:p w14:paraId="004C6FEB" w14:textId="350D0AB1" w:rsidR="00B91FEA" w:rsidRDefault="00B91FEA" w:rsidP="00B91FEA">
      <w:pPr>
        <w:spacing w:before="240"/>
        <w:jc w:val="center"/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</w:pPr>
      <w:r w:rsidRPr="00B91FEA"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  <w:t>Przedsięwzięcie 1.</w:t>
      </w:r>
      <w:r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  <w:t xml:space="preserve">3 Wsparcie jakości edukacji </w:t>
      </w:r>
    </w:p>
    <w:p w14:paraId="0A9B9AA8" w14:textId="7852CFB6" w:rsidR="00B91FEA" w:rsidRPr="00B91FEA" w:rsidRDefault="00B91FEA" w:rsidP="00B91FEA">
      <w:pPr>
        <w:spacing w:before="240"/>
        <w:jc w:val="center"/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</w:pPr>
      <w:r w:rsidRPr="00B91FEA"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  <w:t>Przedsięwzięcie 1.</w:t>
      </w:r>
      <w:r>
        <w:rPr>
          <w:rFonts w:ascii="Times New Roman" w:eastAsia="Calibri" w:hAnsi="Times New Roman" w:cs="Times New Roman"/>
          <w:b/>
          <w:iCs/>
          <w:kern w:val="2"/>
          <w:sz w:val="24"/>
          <w:szCs w:val="24"/>
          <w:u w:val="single"/>
        </w:rPr>
        <w:t xml:space="preserve">4 Usługi społeczne świadczone w społeczności lokalnej </w:t>
      </w:r>
    </w:p>
    <w:p w14:paraId="45ACAAA8" w14:textId="77777777" w:rsidR="00E00E98" w:rsidRDefault="00E00E98" w:rsidP="00E0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en-US"/>
        </w:rPr>
      </w:pPr>
    </w:p>
    <w:p w14:paraId="0C1BB910" w14:textId="77777777" w:rsidR="00E00E98" w:rsidRDefault="00E00E98" w:rsidP="00E0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en-US"/>
        </w:rPr>
      </w:pPr>
    </w:p>
    <w:tbl>
      <w:tblPr>
        <w:tblW w:w="4815" w:type="pct"/>
        <w:tblCellSpacing w:w="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"/>
        <w:gridCol w:w="644"/>
        <w:gridCol w:w="2118"/>
        <w:gridCol w:w="5835"/>
        <w:gridCol w:w="65"/>
      </w:tblGrid>
      <w:tr w:rsidR="00E33E1E" w:rsidRPr="00EE76F6" w14:paraId="2DA382E6" w14:textId="77777777" w:rsidTr="00C051DA">
        <w:trPr>
          <w:gridBefore w:val="1"/>
          <w:wBefore w:w="5" w:type="dxa"/>
          <w:trHeight w:val="145"/>
          <w:tblCellSpacing w:w="20" w:type="dxa"/>
        </w:trPr>
        <w:tc>
          <w:tcPr>
            <w:tcW w:w="604" w:type="dxa"/>
            <w:shd w:val="clear" w:color="auto" w:fill="BFBFBF"/>
          </w:tcPr>
          <w:p w14:paraId="1E975FF9" w14:textId="77777777" w:rsidR="00E00E98" w:rsidRPr="00B91FEA" w:rsidRDefault="00E00E98" w:rsidP="00235C6E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78" w:type="dxa"/>
            <w:shd w:val="clear" w:color="auto" w:fill="BFBFBF"/>
          </w:tcPr>
          <w:p w14:paraId="3049A009" w14:textId="77777777" w:rsidR="00E00E98" w:rsidRPr="00B91FEA" w:rsidRDefault="00E00E98" w:rsidP="00235C6E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Lokalne kryterium oceny operacji</w:t>
            </w:r>
          </w:p>
        </w:tc>
        <w:tc>
          <w:tcPr>
            <w:tcW w:w="5840" w:type="dxa"/>
            <w:gridSpan w:val="2"/>
            <w:shd w:val="clear" w:color="auto" w:fill="BFBFBF"/>
            <w:vAlign w:val="center"/>
          </w:tcPr>
          <w:p w14:paraId="138D452D" w14:textId="77777777" w:rsidR="00E00E98" w:rsidRPr="00B91FEA" w:rsidRDefault="00E00E98" w:rsidP="00235C6E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 kryterium lokalnego oceny operacji</w:t>
            </w:r>
          </w:p>
        </w:tc>
      </w:tr>
      <w:tr w:rsidR="00C051DA" w:rsidRPr="00EE76F6" w14:paraId="2CCEABD3" w14:textId="77777777" w:rsidTr="00C051DA">
        <w:trPr>
          <w:gridBefore w:val="1"/>
          <w:wBefore w:w="5" w:type="dxa"/>
          <w:cantSplit/>
          <w:trHeight w:val="1029"/>
          <w:tblCellSpacing w:w="20" w:type="dxa"/>
        </w:trPr>
        <w:tc>
          <w:tcPr>
            <w:tcW w:w="604" w:type="dxa"/>
            <w:vAlign w:val="center"/>
          </w:tcPr>
          <w:p w14:paraId="74E18A31" w14:textId="1A33A414" w:rsidR="00E00E98" w:rsidRPr="00EE76F6" w:rsidRDefault="00C051DA" w:rsidP="00C051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00E98" w:rsidRPr="00EE76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0B7F7570" w14:textId="77777777" w:rsidR="00E00E98" w:rsidRPr="00B91FEA" w:rsidRDefault="00E00E98" w:rsidP="00235C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Operacja wykorzystuje lokalny potencjał </w:t>
            </w:r>
          </w:p>
          <w:p w14:paraId="33C8F213" w14:textId="77777777" w:rsidR="00E00E98" w:rsidRPr="00B91FEA" w:rsidRDefault="00E00E98" w:rsidP="00B91F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>Max. liczba punktów – 2 pkt</w:t>
            </w:r>
          </w:p>
        </w:tc>
        <w:tc>
          <w:tcPr>
            <w:tcW w:w="5840" w:type="dxa"/>
            <w:gridSpan w:val="2"/>
          </w:tcPr>
          <w:p w14:paraId="3EFB9912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F6">
              <w:rPr>
                <w:rFonts w:ascii="Times New Roman" w:hAnsi="Times New Roman"/>
                <w:b/>
                <w:sz w:val="24"/>
                <w:szCs w:val="24"/>
              </w:rPr>
              <w:t xml:space="preserve">Operacja: </w:t>
            </w:r>
          </w:p>
          <w:p w14:paraId="552C1D08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29F6A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F6">
              <w:rPr>
                <w:rFonts w:ascii="Times New Roman" w:hAnsi="Times New Roman"/>
                <w:sz w:val="24"/>
                <w:szCs w:val="24"/>
              </w:rPr>
              <w:t xml:space="preserve">a) wykorzystuje lokalny potencjał – </w:t>
            </w:r>
            <w:r w:rsidRPr="00EE76F6">
              <w:rPr>
                <w:rFonts w:ascii="Times New Roman" w:hAnsi="Times New Roman"/>
                <w:b/>
                <w:sz w:val="24"/>
                <w:szCs w:val="24"/>
              </w:rPr>
              <w:t>2 pkt</w:t>
            </w:r>
            <w:r w:rsidRPr="00EE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8A6161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F6">
              <w:rPr>
                <w:rFonts w:ascii="Times New Roman" w:hAnsi="Times New Roman"/>
                <w:sz w:val="24"/>
                <w:szCs w:val="24"/>
              </w:rPr>
              <w:t xml:space="preserve">b) nie wykorzystuje lokalnego potencjału – </w:t>
            </w:r>
            <w:r w:rsidRPr="00EE76F6">
              <w:rPr>
                <w:rFonts w:ascii="Times New Roman" w:hAnsi="Times New Roman"/>
                <w:b/>
                <w:sz w:val="24"/>
                <w:szCs w:val="24"/>
              </w:rPr>
              <w:t>0 pkt</w:t>
            </w:r>
            <w:r w:rsidRPr="00EE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C67EBC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8CA7C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F6">
              <w:rPr>
                <w:rFonts w:ascii="Times New Roman" w:hAnsi="Times New Roman"/>
                <w:sz w:val="24"/>
                <w:szCs w:val="24"/>
              </w:rPr>
              <w:t>Punkty przyznaje się, jeżeli operacja wykorzystuje lokalny potencjał np. zasoby naturalne, (w tym przyrodnicze), lokalizację, dziedzictwo lokalne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F6">
              <w:rPr>
                <w:rFonts w:ascii="Times New Roman" w:hAnsi="Times New Roman"/>
                <w:sz w:val="24"/>
                <w:szCs w:val="24"/>
              </w:rPr>
              <w:t xml:space="preserve">(w tym kulinarne). Kryterium jest adekwatne do analizy SWOT, ponieważ wspiera mocne strony obszaru LGD, którymi są głównie zasoby przyrodnicze, ale również kulturowe. </w:t>
            </w:r>
          </w:p>
          <w:p w14:paraId="097CEF3C" w14:textId="77777777" w:rsidR="00E00E98" w:rsidRPr="00EE76F6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291C3" w14:textId="18CB4A76" w:rsidR="00C051DA" w:rsidRPr="00C051D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6F6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B91F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informacje zawarte we wniosku o powierzenie grantu.</w:t>
            </w:r>
          </w:p>
        </w:tc>
      </w:tr>
      <w:tr w:rsidR="00C051DA" w:rsidRPr="00EE76F6" w14:paraId="5BAB5FF0" w14:textId="77777777" w:rsidTr="00C051DA">
        <w:trPr>
          <w:gridBefore w:val="1"/>
          <w:wBefore w:w="5" w:type="dxa"/>
          <w:cantSplit/>
          <w:trHeight w:val="1022"/>
          <w:tblCellSpacing w:w="20" w:type="dxa"/>
        </w:trPr>
        <w:tc>
          <w:tcPr>
            <w:tcW w:w="604" w:type="dxa"/>
            <w:vAlign w:val="center"/>
          </w:tcPr>
          <w:p w14:paraId="0FA28A28" w14:textId="77777777" w:rsidR="00E00E98" w:rsidRPr="00EE76F6" w:rsidRDefault="00E00E98" w:rsidP="00C051DA">
            <w:pPr>
              <w:rPr>
                <w:rFonts w:ascii="Times New Roman" w:eastAsia="Calibri" w:hAnsi="Times New Roman" w:cs="Times New Roman"/>
                <w:color w:val="ED0000"/>
              </w:rPr>
            </w:pPr>
            <w:r w:rsidRPr="00EE76F6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6D810FA6" w14:textId="77777777" w:rsidR="00B91FEA" w:rsidRPr="00B91FEA" w:rsidRDefault="00B91FEA" w:rsidP="00B91FE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Siedziba Wnioskodawcy na obszarze LGD </w:t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14:paraId="7661E443" w14:textId="235D1432" w:rsidR="00E00E98" w:rsidRPr="00EE76F6" w:rsidRDefault="00B91FEA" w:rsidP="00B91FEA">
            <w:pPr>
              <w:jc w:val="center"/>
              <w:rPr>
                <w:rFonts w:ascii="Times New Roman" w:eastAsia="Calibri" w:hAnsi="Times New Roman" w:cs="Times New Roman"/>
                <w:b/>
                <w:color w:val="ED0000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Max. liczba punktów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5840" w:type="dxa"/>
            <w:gridSpan w:val="2"/>
          </w:tcPr>
          <w:p w14:paraId="17744AAA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Siedziba Wnioskodawcy na obszarze LGD: </w:t>
            </w:r>
          </w:p>
          <w:p w14:paraId="12DA48FC" w14:textId="77777777" w:rsidR="00C051D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a) </w:t>
            </w:r>
            <w:r w:rsidRPr="00B91FE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>od minimum roku znajduje się na obszarze LGD</w:t>
            </w:r>
            <w:r w:rsidR="001745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7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  <w:p w14:paraId="1D41C618" w14:textId="2D9F2012" w:rsidR="00B91FEA" w:rsidRPr="00C051D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B91FE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poza obszarem LGD lub na obszarze krócej niż rok </w:t>
            </w:r>
            <w:r w:rsidR="001745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pkt </w:t>
            </w:r>
          </w:p>
          <w:p w14:paraId="7F593A0B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4A219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Preferowane będą projekty realizowane przez Wnioskodawców, których siedziba od minimum roku znajduje się na obszarze LGD.</w:t>
            </w:r>
          </w:p>
          <w:p w14:paraId="3B9B545A" w14:textId="60CFA3C9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7341AD" w14:textId="33D54FE2" w:rsidR="00E00E98" w:rsidRPr="00B91FEA" w:rsidRDefault="00B91FEA" w:rsidP="00C051DA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6F6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B91F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informacje zawarte we wniosku o powierzenie grantu i/lub w dołączonych załącznikach.</w:t>
            </w:r>
          </w:p>
        </w:tc>
      </w:tr>
      <w:tr w:rsidR="00C051DA" w:rsidRPr="00EE76F6" w14:paraId="7E07DBB7" w14:textId="77777777" w:rsidTr="00C051DA">
        <w:trPr>
          <w:gridBefore w:val="1"/>
          <w:wBefore w:w="5" w:type="dxa"/>
          <w:cantSplit/>
          <w:trHeight w:val="3058"/>
          <w:tblCellSpacing w:w="20" w:type="dxa"/>
        </w:trPr>
        <w:tc>
          <w:tcPr>
            <w:tcW w:w="604" w:type="dxa"/>
            <w:vAlign w:val="center"/>
          </w:tcPr>
          <w:p w14:paraId="588C6F13" w14:textId="4A2A47CA" w:rsidR="00E00E98" w:rsidRPr="00B91FEA" w:rsidRDefault="00C051DA" w:rsidP="00C051DA">
            <w:pPr>
              <w:rPr>
                <w:rFonts w:ascii="Times New Roman" w:eastAsia="Calibri" w:hAnsi="Times New Roman" w:cs="Times New Roman"/>
                <w:color w:val="DF0000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337523CE" w14:textId="631811EA" w:rsidR="00B91FEA" w:rsidRDefault="00B91FEA" w:rsidP="00C05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Operacja dedykowana dla mieszkańców obszarów wiejskich, wykluczonych społecznie ze względu na przynależność do grup zdiagnozowanych jako grupy </w:t>
            </w:r>
            <w:r w:rsidR="00C0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niekorzystnej sytuacji wskazanych </w:t>
            </w:r>
            <w:r w:rsidR="00C0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LSR</w:t>
            </w:r>
          </w:p>
          <w:p w14:paraId="64B042E1" w14:textId="77777777" w:rsidR="00C051DA" w:rsidRPr="00B91FEA" w:rsidRDefault="00C051DA" w:rsidP="00C05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9003E6" w14:textId="4CDC2886" w:rsidR="00E00E98" w:rsidRPr="00C051DA" w:rsidRDefault="00B91FEA" w:rsidP="00C05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Max. liczba punktów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5840" w:type="dxa"/>
            <w:gridSpan w:val="2"/>
          </w:tcPr>
          <w:p w14:paraId="1EB09B11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Operacja dedykowana osobom w niekorzystnej sytuacji: </w:t>
            </w:r>
          </w:p>
          <w:p w14:paraId="7839935E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78631" w14:textId="0EF64473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>a) tak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pkt</w:t>
            </w:r>
          </w:p>
          <w:p w14:paraId="0E43E82F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nie – </w:t>
            </w:r>
            <w:r w:rsidRPr="00B91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pkt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2F1981" w14:textId="77777777" w:rsidR="00B91FEA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1F2F4" w14:textId="2EA53941" w:rsidR="00174581" w:rsidRPr="00C051D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>Kryterium powiązane z diagnozą i analizą SWOT. Rekomenduje się operacje, w których wnioskodawca opisze w jaki sposób wpłynie ona na zaspokojenie potrzeb osób z grup znajdujących się w niekorzystnej sytuacji wskazanych w LSR, tj. osób z niepełnosprawnościami, kobiet, rolników z małych gospodarstw, osób</w:t>
            </w:r>
            <w:r w:rsidR="00C0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bezrobotnych/szukających pracy/ mieszkańców obszarów po PGR. </w:t>
            </w:r>
          </w:p>
          <w:p w14:paraId="7E4653AF" w14:textId="77777777" w:rsidR="00174581" w:rsidRDefault="00174581" w:rsidP="00C051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A091D7" w14:textId="356D0E96" w:rsidR="00E00E98" w:rsidRPr="00B91FEA" w:rsidRDefault="00B91FEA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DF0000"/>
                <w:sz w:val="24"/>
                <w:szCs w:val="24"/>
              </w:rPr>
            </w:pPr>
            <w:r w:rsidRPr="00EE76F6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B91F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informacje zawarte we wniosku o powierzenie grantu i/lub w dołączonych załącznikach.</w:t>
            </w:r>
          </w:p>
        </w:tc>
      </w:tr>
      <w:tr w:rsidR="00C051DA" w:rsidRPr="00EE76F6" w14:paraId="1C5DC3ED" w14:textId="77777777" w:rsidTr="00C051DA">
        <w:trPr>
          <w:gridBefore w:val="1"/>
          <w:wBefore w:w="5" w:type="dxa"/>
          <w:cantSplit/>
          <w:trHeight w:val="1363"/>
          <w:tblCellSpacing w:w="20" w:type="dxa"/>
        </w:trPr>
        <w:tc>
          <w:tcPr>
            <w:tcW w:w="604" w:type="dxa"/>
            <w:vAlign w:val="center"/>
          </w:tcPr>
          <w:p w14:paraId="0E84EA01" w14:textId="77777777" w:rsidR="00E00E98" w:rsidRPr="00B91FEA" w:rsidRDefault="00E00E98" w:rsidP="00C051DA">
            <w:pPr>
              <w:rPr>
                <w:rFonts w:ascii="Times New Roman" w:eastAsia="Calibri" w:hAnsi="Times New Roman" w:cs="Times New Roman"/>
                <w:color w:val="DF0000"/>
              </w:rPr>
            </w:pPr>
            <w:r w:rsidRPr="00174581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73B89DF3" w14:textId="1BCA05F7" w:rsidR="00E00E98" w:rsidRDefault="00174581" w:rsidP="0017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581">
              <w:rPr>
                <w:rFonts w:ascii="Times New Roman" w:hAnsi="Times New Roman"/>
                <w:b/>
                <w:sz w:val="24"/>
                <w:szCs w:val="24"/>
              </w:rPr>
              <w:t>Różnorodność form wsparcia</w:t>
            </w:r>
          </w:p>
          <w:p w14:paraId="126EAA78" w14:textId="77777777" w:rsidR="00174581" w:rsidRPr="00174581" w:rsidRDefault="00174581" w:rsidP="00174581">
            <w:pPr>
              <w:spacing w:after="0" w:line="240" w:lineRule="auto"/>
              <w:jc w:val="center"/>
              <w:rPr>
                <w:rFonts w:ascii="Times New Roman" w:hAnsi="Times New Roman"/>
                <w:color w:val="DF0000"/>
                <w:sz w:val="24"/>
                <w:szCs w:val="24"/>
              </w:rPr>
            </w:pPr>
          </w:p>
          <w:p w14:paraId="0C90580F" w14:textId="12002555" w:rsidR="00E00E98" w:rsidRPr="00B91FEA" w:rsidRDefault="00E00E98" w:rsidP="00235C6E">
            <w:pPr>
              <w:jc w:val="center"/>
              <w:rPr>
                <w:rFonts w:ascii="Times New Roman" w:eastAsia="Calibri" w:hAnsi="Times New Roman" w:cs="Times New Roman"/>
                <w:b/>
                <w:color w:val="DF0000"/>
              </w:rPr>
            </w:pPr>
            <w:r w:rsidRPr="00B91FEA">
              <w:rPr>
                <w:rFonts w:ascii="Times New Roman" w:hAnsi="Times New Roman"/>
                <w:color w:val="DF0000"/>
                <w:sz w:val="24"/>
                <w:szCs w:val="24"/>
              </w:rPr>
              <w:t xml:space="preserve"> 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 xml:space="preserve">Max. liczba punktów – </w:t>
            </w:r>
            <w:r w:rsidR="00174581">
              <w:rPr>
                <w:rFonts w:ascii="Times New Roman" w:hAnsi="Times New Roman"/>
                <w:sz w:val="24"/>
                <w:szCs w:val="24"/>
              </w:rPr>
              <w:t>2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5840" w:type="dxa"/>
            <w:gridSpan w:val="2"/>
          </w:tcPr>
          <w:p w14:paraId="7600B448" w14:textId="77777777" w:rsidR="00174581" w:rsidRPr="00AE68B3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Projekt zakłada:</w:t>
            </w:r>
          </w:p>
          <w:p w14:paraId="14112EF6" w14:textId="77777777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435022" w14:textId="5958FA05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realizację 3 form wsparcia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7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  <w:p w14:paraId="1B660E1B" w14:textId="54515A23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realizację 2 form wsparcia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7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pkt</w:t>
            </w:r>
          </w:p>
          <w:p w14:paraId="3537EF10" w14:textId="77777777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realizację 1 formy wsparcia – </w:t>
            </w:r>
            <w:r w:rsidRPr="0017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pkt</w:t>
            </w: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DAF6B4" w14:textId="77777777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73295" w14:textId="2AA4DECF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>Preferuje się projekty, obejmujące jednocześnie kilka różnorodnych form wsparcia w ramach danego projektu:</w:t>
            </w:r>
          </w:p>
          <w:p w14:paraId="249C33C8" w14:textId="68DFCDAC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>- wsparcie różnych form rozwijających kompetencje, uzdolnienia, umiejętności, wiedzę oraz zainteresowania uczniów (np. poprzez zajęcia realizowane w obszarze bezpośrednio związanym z tematem rozwijanych kompetencji umiejętności, uzdolnień i wiedzy;</w:t>
            </w:r>
            <w:r w:rsidR="00C0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korepetycje, szkolenia, warsztaty, wyjazdy studyjne </w:t>
            </w:r>
            <w:r w:rsidR="00C051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szkoleniowe, półkolonie tematyczne), </w:t>
            </w:r>
          </w:p>
          <w:p w14:paraId="177B353C" w14:textId="5D6F439B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wsparcie działań służących pomocy uczniom w radzeniu sobie w trudnych sytuacjach, rozwiązywaniu problemów (np. związanych z pandemią COVID-19, stresem, wymaganiami i obowiązkami, presją społeczną </w:t>
            </w:r>
            <w:r w:rsidR="00C051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medialną),   </w:t>
            </w:r>
          </w:p>
          <w:p w14:paraId="6CB5ED66" w14:textId="791A0AD5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>- zajęcia dydaktyczno-wychowawcze skierowane do uczniów z trudnościami edukacyjnymi,</w:t>
            </w:r>
          </w:p>
          <w:p w14:paraId="3C5629A9" w14:textId="77777777" w:rsidR="00174581" w:rsidRP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581">
              <w:rPr>
                <w:rFonts w:ascii="Times New Roman" w:eastAsia="Calibri" w:hAnsi="Times New Roman" w:cs="Times New Roman"/>
                <w:sz w:val="24"/>
                <w:szCs w:val="24"/>
              </w:rPr>
              <w:t>- zajęcia zwiększające wiedzę uczniów na temat zmian klimatycznych oraz zielonych umiejętności i kompetencji.</w:t>
            </w:r>
          </w:p>
          <w:p w14:paraId="32A1FB18" w14:textId="77777777" w:rsidR="00174581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0C7E81" w14:textId="13924736" w:rsidR="00174581" w:rsidRPr="00C051DA" w:rsidRDefault="00174581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6F6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B91F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informacje zawarte we wniosku o powierzenie grantu </w:t>
            </w:r>
          </w:p>
        </w:tc>
      </w:tr>
      <w:tr w:rsidR="00C051DA" w:rsidRPr="00EE76F6" w14:paraId="023FBD35" w14:textId="77777777" w:rsidTr="00C051DA">
        <w:trPr>
          <w:gridBefore w:val="1"/>
          <w:wBefore w:w="5" w:type="dxa"/>
          <w:cantSplit/>
          <w:trHeight w:val="1363"/>
          <w:tblCellSpacing w:w="20" w:type="dxa"/>
        </w:trPr>
        <w:tc>
          <w:tcPr>
            <w:tcW w:w="604" w:type="dxa"/>
            <w:vAlign w:val="center"/>
          </w:tcPr>
          <w:p w14:paraId="54322341" w14:textId="77777777" w:rsidR="00E00E98" w:rsidRPr="00B91FEA" w:rsidRDefault="00E00E98" w:rsidP="00C051DA">
            <w:pPr>
              <w:rPr>
                <w:rFonts w:ascii="Times New Roman" w:eastAsia="Calibri" w:hAnsi="Times New Roman" w:cs="Times New Roman"/>
                <w:color w:val="DF0000"/>
              </w:rPr>
            </w:pPr>
            <w:r w:rsidRPr="003E322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13BC520B" w14:textId="630A28D5" w:rsidR="00E00E98" w:rsidRPr="00AE68B3" w:rsidRDefault="003E322F" w:rsidP="0023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Operacja wpływa na rozwój kompetencji </w:t>
            </w:r>
            <w:r w:rsidRPr="00AE6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aktywności mieszkańców</w:t>
            </w:r>
          </w:p>
          <w:p w14:paraId="087BAF1E" w14:textId="1A20452A" w:rsidR="003E322F" w:rsidRPr="00B91FEA" w:rsidRDefault="003E322F" w:rsidP="00235C6E">
            <w:pPr>
              <w:jc w:val="center"/>
              <w:rPr>
                <w:rFonts w:ascii="Times New Roman" w:eastAsia="Calibri" w:hAnsi="Times New Roman" w:cs="Times New Roman"/>
                <w:color w:val="DF0000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 xml:space="preserve">Max. liczba punktów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5840" w:type="dxa"/>
            <w:gridSpan w:val="2"/>
          </w:tcPr>
          <w:p w14:paraId="1CD423B6" w14:textId="77777777" w:rsidR="003E322F" w:rsidRDefault="003E322F" w:rsidP="00C05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2F">
              <w:rPr>
                <w:rFonts w:ascii="Times New Roman" w:hAnsi="Times New Roman" w:cs="Times New Roman"/>
                <w:sz w:val="24"/>
                <w:szCs w:val="24"/>
              </w:rPr>
              <w:t xml:space="preserve">Preferowane są operacje, które dążą do podniesienia kwalifikacji, kompetencji i umiejętności mieszkańców oraz wzrostu ich aktywności: </w:t>
            </w:r>
          </w:p>
          <w:p w14:paraId="1025AD94" w14:textId="77777777" w:rsidR="003E322F" w:rsidRPr="003E322F" w:rsidRDefault="003E322F" w:rsidP="00C05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C55A" w14:textId="63BB2CA2" w:rsidR="003E322F" w:rsidRPr="003E322F" w:rsidRDefault="00AE68B3" w:rsidP="00C05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a) </w:t>
            </w:r>
            <w:r w:rsidR="003E322F" w:rsidRPr="003E322F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3E32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322F" w:rsidRPr="003E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  <w:p w14:paraId="4821C511" w14:textId="48778E69" w:rsidR="003E322F" w:rsidRPr="003E322F" w:rsidRDefault="00AE68B3" w:rsidP="00C05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b) </w:t>
            </w:r>
            <w:r w:rsidR="003E322F" w:rsidRPr="003E322F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3E322F" w:rsidRPr="003E322F">
              <w:rPr>
                <w:rFonts w:ascii="Times New Roman" w:hAnsi="Times New Roman" w:cs="Times New Roman"/>
                <w:b/>
                <w:sz w:val="24"/>
                <w:szCs w:val="24"/>
              </w:rPr>
              <w:t>0 pkt</w:t>
            </w:r>
          </w:p>
          <w:p w14:paraId="461436BC" w14:textId="77777777" w:rsidR="003E322F" w:rsidRDefault="003E322F" w:rsidP="00C05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A7A3B1" w14:textId="6CE22682" w:rsidR="00E00E98" w:rsidRPr="00C051DA" w:rsidRDefault="003E322F" w:rsidP="00C05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6F6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B91F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informacje zawarte we wniosku o powierzenie grantu </w:t>
            </w:r>
          </w:p>
        </w:tc>
      </w:tr>
      <w:tr w:rsidR="00C051DA" w:rsidRPr="00EE76F6" w14:paraId="1CC5DB00" w14:textId="77777777" w:rsidTr="00C051DA">
        <w:trPr>
          <w:gridBefore w:val="1"/>
          <w:wBefore w:w="5" w:type="dxa"/>
          <w:cantSplit/>
          <w:trHeight w:val="1363"/>
          <w:tblCellSpacing w:w="20" w:type="dxa"/>
        </w:trPr>
        <w:tc>
          <w:tcPr>
            <w:tcW w:w="604" w:type="dxa"/>
            <w:vAlign w:val="center"/>
          </w:tcPr>
          <w:p w14:paraId="624A500D" w14:textId="5310F6E2" w:rsidR="00E00E98" w:rsidRPr="00174581" w:rsidRDefault="00E00E98" w:rsidP="00C051DA">
            <w:pPr>
              <w:rPr>
                <w:rFonts w:ascii="Times New Roman" w:eastAsia="Calibri" w:hAnsi="Times New Roman" w:cs="Times New Roman"/>
              </w:rPr>
            </w:pPr>
            <w:r w:rsidRPr="00174581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57EDEC99" w14:textId="77777777" w:rsidR="00E00E98" w:rsidRPr="00174581" w:rsidRDefault="00E00E98" w:rsidP="0023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581">
              <w:rPr>
                <w:rFonts w:ascii="Times New Roman" w:hAnsi="Times New Roman"/>
                <w:b/>
                <w:sz w:val="24"/>
                <w:szCs w:val="24"/>
              </w:rPr>
              <w:t>Doradztwo indywidualne świadczone przez Biuro LGD</w:t>
            </w:r>
          </w:p>
          <w:p w14:paraId="5D9A8D4F" w14:textId="77777777" w:rsidR="00E00E98" w:rsidRPr="00174581" w:rsidRDefault="00E00E98" w:rsidP="00235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2C06D7" w14:textId="77777777" w:rsidR="00E00E98" w:rsidRPr="00174581" w:rsidRDefault="00E00E98" w:rsidP="00235C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>Max. liczba punktów – 2 pkt</w:t>
            </w:r>
            <w:r w:rsidRPr="0017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0" w:type="dxa"/>
            <w:gridSpan w:val="2"/>
          </w:tcPr>
          <w:p w14:paraId="6D0F123C" w14:textId="77777777" w:rsidR="00E00E98" w:rsidRPr="00AE68B3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8B3">
              <w:rPr>
                <w:rFonts w:ascii="Times New Roman" w:hAnsi="Times New Roman"/>
                <w:bCs/>
                <w:sz w:val="24"/>
                <w:szCs w:val="24"/>
              </w:rPr>
              <w:t>Wnioskodawca korzystał z bezpłatnego doradztwa Biura LGD:</w:t>
            </w:r>
          </w:p>
          <w:p w14:paraId="763B8779" w14:textId="77777777" w:rsidR="00E00E98" w:rsidRPr="00174581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C91A93" w14:textId="77777777" w:rsidR="00E00E98" w:rsidRPr="00174581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 xml:space="preserve">a) tak – </w:t>
            </w:r>
            <w:r w:rsidRPr="00174581">
              <w:rPr>
                <w:rFonts w:ascii="Times New Roman" w:hAnsi="Times New Roman"/>
                <w:b/>
                <w:sz w:val="24"/>
                <w:szCs w:val="24"/>
              </w:rPr>
              <w:t>2 pkt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0D6FB8" w14:textId="77777777" w:rsidR="00E00E98" w:rsidRPr="00174581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 xml:space="preserve">b) nie – </w:t>
            </w:r>
            <w:r w:rsidRPr="00174581">
              <w:rPr>
                <w:rFonts w:ascii="Times New Roman" w:hAnsi="Times New Roman"/>
                <w:b/>
                <w:sz w:val="24"/>
                <w:szCs w:val="24"/>
              </w:rPr>
              <w:t>0 pkt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83920E" w14:textId="77777777" w:rsidR="00E00E98" w:rsidRPr="00174581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958DE" w14:textId="66AC295F" w:rsidR="00E00E98" w:rsidRPr="00174581" w:rsidRDefault="00174581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81">
              <w:rPr>
                <w:rFonts w:ascii="Times New Roman" w:hAnsi="Times New Roman"/>
                <w:sz w:val="24"/>
                <w:szCs w:val="24"/>
              </w:rPr>
              <w:t>Korzystanie z doradztwa indywidulanego pozwala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581">
              <w:rPr>
                <w:rFonts w:ascii="Times New Roman" w:hAnsi="Times New Roman"/>
                <w:sz w:val="24"/>
                <w:szCs w:val="24"/>
              </w:rPr>
              <w:t>zapoznanie wnioskodawcy z procedurami dotyczącymi pozyskania środków finansowych z FEP oraz prawidłowym sporządzeniem dokumentacji aplikacyjnej niezbędnej do pozyskania wsparcia finansowego.</w:t>
            </w:r>
            <w:r w:rsidRPr="00163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E98" w:rsidRPr="00174581">
              <w:rPr>
                <w:rFonts w:ascii="Times New Roman" w:hAnsi="Times New Roman"/>
                <w:sz w:val="24"/>
                <w:szCs w:val="24"/>
              </w:rPr>
              <w:t>Kryterium zostanie uznane za spełnione jeżeli wnioskodawca odbył skuteczne doradztwo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E98" w:rsidRPr="00174581">
              <w:rPr>
                <w:rFonts w:ascii="Times New Roman" w:hAnsi="Times New Roman"/>
                <w:sz w:val="24"/>
                <w:szCs w:val="24"/>
              </w:rPr>
              <w:t>indywidualne świadczone przez Biuro LGD w ramach naboru tematycznego, w którym planuje złożyć wniosek w ramach LSR na lata 2023 – 2027.</w:t>
            </w:r>
          </w:p>
          <w:p w14:paraId="6732E688" w14:textId="77777777" w:rsidR="00E00E98" w:rsidRPr="00174581" w:rsidRDefault="00E00E98" w:rsidP="00C0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C2DDDB" w14:textId="77777777" w:rsidR="00E00E98" w:rsidRPr="00174581" w:rsidRDefault="00E00E98" w:rsidP="00C051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581"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 w:rsidRPr="001745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74581">
              <w:rPr>
                <w:rFonts w:ascii="Times New Roman" w:hAnsi="Times New Roman"/>
                <w:i/>
                <w:sz w:val="24"/>
                <w:szCs w:val="24"/>
              </w:rPr>
              <w:t>rejestr doradztwa.</w:t>
            </w:r>
          </w:p>
        </w:tc>
      </w:tr>
      <w:tr w:rsidR="00E00E98" w:rsidRPr="0093405C" w14:paraId="4C0E6D9F" w14:textId="77777777" w:rsidTr="00E33E1E">
        <w:tblPrEx>
          <w:shd w:val="clear" w:color="auto" w:fill="FFFFFF"/>
        </w:tblPrEx>
        <w:trPr>
          <w:gridAfter w:val="1"/>
          <w:wAfter w:w="5" w:type="dxa"/>
          <w:cantSplit/>
          <w:trHeight w:val="320"/>
          <w:tblCellSpacing w:w="20" w:type="dxa"/>
        </w:trPr>
        <w:tc>
          <w:tcPr>
            <w:tcW w:w="8602" w:type="dxa"/>
            <w:gridSpan w:val="4"/>
            <w:shd w:val="clear" w:color="auto" w:fill="F2F2F2"/>
          </w:tcPr>
          <w:p w14:paraId="6D6F4A91" w14:textId="77777777" w:rsidR="00E00E98" w:rsidRPr="00B91FEA" w:rsidRDefault="00E00E98" w:rsidP="00235C6E">
            <w:pPr>
              <w:rPr>
                <w:rFonts w:ascii="Times New Roman" w:eastAsia="Calibri" w:hAnsi="Times New Roman" w:cs="Times New Roman"/>
                <w:b/>
                <w:bCs/>
                <w:color w:val="DF0000"/>
              </w:rPr>
            </w:pPr>
          </w:p>
          <w:p w14:paraId="618C8606" w14:textId="0CA6332B" w:rsidR="00E00E98" w:rsidRPr="00392469" w:rsidRDefault="00E00E98" w:rsidP="00235C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2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Maksymalna liczba punktów:  </w:t>
            </w:r>
            <w:r w:rsidR="00392469" w:rsidRPr="00392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12 </w:t>
            </w:r>
            <w:r w:rsidRPr="00392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pkt</w:t>
            </w:r>
          </w:p>
          <w:p w14:paraId="66FE7D01" w14:textId="77777777" w:rsidR="00E00E98" w:rsidRPr="00B91FEA" w:rsidRDefault="00E00E98" w:rsidP="00235C6E">
            <w:pPr>
              <w:rPr>
                <w:rFonts w:ascii="Times New Roman" w:eastAsia="Calibri" w:hAnsi="Times New Roman" w:cs="Times New Roman"/>
                <w:color w:val="DF0000"/>
              </w:rPr>
            </w:pPr>
          </w:p>
        </w:tc>
      </w:tr>
    </w:tbl>
    <w:p w14:paraId="609059EE" w14:textId="77777777" w:rsidR="00E00E98" w:rsidRPr="00EE76F6" w:rsidRDefault="00E00E98" w:rsidP="00E0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en-US"/>
        </w:rPr>
      </w:pPr>
    </w:p>
    <w:p w14:paraId="7F9C9C7F" w14:textId="77777777" w:rsidR="00CE69DC" w:rsidRDefault="00CE69DC"/>
    <w:sectPr w:rsidR="00CE69DC" w:rsidSect="00E00E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8"/>
    <w:rsid w:val="00174581"/>
    <w:rsid w:val="00392469"/>
    <w:rsid w:val="003E322F"/>
    <w:rsid w:val="00480289"/>
    <w:rsid w:val="006D46FE"/>
    <w:rsid w:val="007746D3"/>
    <w:rsid w:val="007C649F"/>
    <w:rsid w:val="00AE68B3"/>
    <w:rsid w:val="00B91FEA"/>
    <w:rsid w:val="00C051DA"/>
    <w:rsid w:val="00CE69DC"/>
    <w:rsid w:val="00E00E98"/>
    <w:rsid w:val="00E33E1E"/>
    <w:rsid w:val="00E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39D2"/>
  <w15:chartTrackingRefBased/>
  <w15:docId w15:val="{4BE8A9D2-58DC-4C8E-A3E0-2AD5F4B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E9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3E8F-7B31-46C9-A2FD-1C2B244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Kraina Sanu</dc:creator>
  <cp:keywords/>
  <dc:description/>
  <cp:lastModifiedBy>LGD Kraina Sanu</cp:lastModifiedBy>
  <cp:revision>7</cp:revision>
  <cp:lastPrinted>2024-05-14T11:01:00Z</cp:lastPrinted>
  <dcterms:created xsi:type="dcterms:W3CDTF">2024-05-13T10:14:00Z</dcterms:created>
  <dcterms:modified xsi:type="dcterms:W3CDTF">2024-05-14T11:04:00Z</dcterms:modified>
</cp:coreProperties>
</file>