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ED0" w:rsidRDefault="00DC27F1" w:rsidP="00583ED0">
      <w:pPr>
        <w:tabs>
          <w:tab w:val="left" w:pos="567"/>
          <w:tab w:val="left" w:pos="2298"/>
        </w:tabs>
        <w:spacing w:after="200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3207385</wp:posOffset>
            </wp:positionH>
            <wp:positionV relativeFrom="paragraph">
              <wp:posOffset>-55880</wp:posOffset>
            </wp:positionV>
            <wp:extent cx="998855" cy="728980"/>
            <wp:effectExtent l="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1104" behindDoc="0" locked="0" layoutInCell="1" allowOverlap="1">
            <wp:simplePos x="0" y="0"/>
            <wp:positionH relativeFrom="column">
              <wp:posOffset>1736725</wp:posOffset>
            </wp:positionH>
            <wp:positionV relativeFrom="paragraph">
              <wp:posOffset>-2540</wp:posOffset>
            </wp:positionV>
            <wp:extent cx="788035" cy="675640"/>
            <wp:effectExtent l="0" t="0" r="0" b="0"/>
            <wp:wrapSquare wrapText="bothSides"/>
            <wp:docPr id="5" name="Obraz 9" descr="Leader 07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Leader 07-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7904" behindDoc="0" locked="0" layoutInCell="1" allowOverlap="1">
            <wp:simplePos x="0" y="0"/>
            <wp:positionH relativeFrom="column">
              <wp:posOffset>-38735</wp:posOffset>
            </wp:positionH>
            <wp:positionV relativeFrom="paragraph">
              <wp:posOffset>-2540</wp:posOffset>
            </wp:positionV>
            <wp:extent cx="1257300" cy="751205"/>
            <wp:effectExtent l="0" t="0" r="0" b="0"/>
            <wp:wrapSquare wrapText="bothSides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5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noProof/>
        </w:rPr>
        <w:drawing>
          <wp:anchor distT="0" distB="0" distL="114300" distR="114300" simplePos="0" relativeHeight="251690496" behindDoc="0" locked="0" layoutInCell="1" allowOverlap="1">
            <wp:simplePos x="0" y="0"/>
            <wp:positionH relativeFrom="column">
              <wp:posOffset>4739005</wp:posOffset>
            </wp:positionH>
            <wp:positionV relativeFrom="paragraph">
              <wp:posOffset>-48260</wp:posOffset>
            </wp:positionV>
            <wp:extent cx="1176655" cy="772160"/>
            <wp:effectExtent l="0" t="0" r="0" b="0"/>
            <wp:wrapSquare wrapText="bothSides"/>
            <wp:docPr id="1" name="Obraz 5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77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3ED0">
        <w:rPr>
          <w:b/>
          <w:i/>
        </w:rPr>
        <w:tab/>
      </w:r>
      <w:r w:rsidR="00583ED0">
        <w:rPr>
          <w:b/>
          <w:i/>
        </w:rPr>
        <w:tab/>
      </w:r>
    </w:p>
    <w:p w:rsidR="00D135FF" w:rsidRDefault="00D135FF" w:rsidP="00583ED0"/>
    <w:p w:rsidR="00D135FF" w:rsidRDefault="00D135FF" w:rsidP="00A64AA7">
      <w:pPr>
        <w:jc w:val="center"/>
      </w:pPr>
    </w:p>
    <w:p w:rsidR="00710E3E" w:rsidRDefault="00710E3E" w:rsidP="00710E3E">
      <w:pPr>
        <w:jc w:val="right"/>
        <w:rPr>
          <w:i/>
        </w:rPr>
      </w:pPr>
      <w:r>
        <w:rPr>
          <w:i/>
        </w:rPr>
        <w:t xml:space="preserve">Załącznik Nr </w:t>
      </w:r>
      <w:r w:rsidR="009C1ED2">
        <w:rPr>
          <w:i/>
        </w:rPr>
        <w:t>2</w:t>
      </w:r>
      <w:r>
        <w:rPr>
          <w:i/>
        </w:rPr>
        <w:t xml:space="preserve"> do ogłoszenia o naborze wniosków Nr </w:t>
      </w:r>
      <w:r w:rsidR="002D5ADC">
        <w:rPr>
          <w:i/>
        </w:rPr>
        <w:t>2</w:t>
      </w:r>
      <w:r>
        <w:rPr>
          <w:i/>
        </w:rPr>
        <w:t>/20</w:t>
      </w:r>
      <w:r w:rsidR="002D5ADC">
        <w:rPr>
          <w:i/>
        </w:rPr>
        <w:t>22</w:t>
      </w:r>
    </w:p>
    <w:p w:rsidR="00710E3E" w:rsidRDefault="00710E3E" w:rsidP="00710E3E">
      <w:pPr>
        <w:jc w:val="center"/>
        <w:rPr>
          <w:b/>
          <w:sz w:val="28"/>
          <w:szCs w:val="28"/>
        </w:rPr>
      </w:pPr>
    </w:p>
    <w:p w:rsidR="00710E3E" w:rsidRDefault="00710E3E" w:rsidP="009C1ED2">
      <w:pPr>
        <w:rPr>
          <w:b/>
          <w:sz w:val="28"/>
          <w:szCs w:val="28"/>
        </w:rPr>
      </w:pPr>
    </w:p>
    <w:p w:rsidR="009C1ED2" w:rsidRDefault="009C1ED2" w:rsidP="009C1ED2">
      <w:pPr>
        <w:jc w:val="center"/>
        <w:rPr>
          <w:rFonts w:eastAsia="Calibri"/>
          <w:b/>
          <w:bCs/>
          <w:sz w:val="28"/>
          <w:szCs w:val="28"/>
        </w:rPr>
      </w:pPr>
      <w:r w:rsidRPr="00785D7D">
        <w:rPr>
          <w:rFonts w:eastAsia="Calibri"/>
          <w:b/>
          <w:bCs/>
          <w:sz w:val="28"/>
          <w:szCs w:val="28"/>
        </w:rPr>
        <w:t xml:space="preserve"> LOKALN</w:t>
      </w:r>
      <w:r w:rsidR="0054514D">
        <w:rPr>
          <w:rFonts w:eastAsia="Calibri"/>
          <w:b/>
          <w:bCs/>
          <w:sz w:val="28"/>
          <w:szCs w:val="28"/>
        </w:rPr>
        <w:t>E</w:t>
      </w:r>
      <w:r w:rsidRPr="00785D7D">
        <w:rPr>
          <w:rFonts w:eastAsia="Calibri"/>
          <w:b/>
          <w:bCs/>
          <w:sz w:val="28"/>
          <w:szCs w:val="28"/>
        </w:rPr>
        <w:t xml:space="preserve"> KRYTER</w:t>
      </w:r>
      <w:r w:rsidR="0054514D">
        <w:rPr>
          <w:rFonts w:eastAsia="Calibri"/>
          <w:b/>
          <w:bCs/>
          <w:sz w:val="28"/>
          <w:szCs w:val="28"/>
        </w:rPr>
        <w:t>IA</w:t>
      </w:r>
      <w:r w:rsidRPr="00785D7D">
        <w:rPr>
          <w:rFonts w:eastAsia="Calibri"/>
          <w:b/>
          <w:bCs/>
          <w:sz w:val="28"/>
          <w:szCs w:val="28"/>
        </w:rPr>
        <w:t xml:space="preserve"> WYBORU</w:t>
      </w:r>
      <w:r w:rsidR="0054514D">
        <w:rPr>
          <w:rFonts w:eastAsia="Calibri"/>
          <w:b/>
          <w:bCs/>
          <w:sz w:val="28"/>
          <w:szCs w:val="28"/>
        </w:rPr>
        <w:t xml:space="preserve"> OPERACJI W ZAKRESIE:</w:t>
      </w:r>
    </w:p>
    <w:p w:rsidR="009C1ED2" w:rsidRPr="00785D7D" w:rsidRDefault="009C1ED2" w:rsidP="009C1ED2">
      <w:pPr>
        <w:jc w:val="center"/>
        <w:rPr>
          <w:b/>
          <w:lang w:bidi="en-US"/>
        </w:rPr>
      </w:pPr>
    </w:p>
    <w:p w:rsidR="009C1ED2" w:rsidRDefault="009C1ED2" w:rsidP="009C1ED2">
      <w:pPr>
        <w:jc w:val="center"/>
        <w:rPr>
          <w:b/>
          <w:lang w:bidi="en-US"/>
        </w:rPr>
      </w:pPr>
      <w:r w:rsidRPr="00785D7D">
        <w:rPr>
          <w:b/>
          <w:lang w:bidi="en-US"/>
        </w:rPr>
        <w:t>KONKURSY</w:t>
      </w:r>
    </w:p>
    <w:p w:rsidR="009C1ED2" w:rsidRPr="00785D7D" w:rsidRDefault="009C1ED2" w:rsidP="009C1ED2">
      <w:pPr>
        <w:autoSpaceDE w:val="0"/>
        <w:autoSpaceDN w:val="0"/>
        <w:adjustRightInd w:val="0"/>
        <w:rPr>
          <w:rFonts w:ascii="Arial" w:eastAsia="Calibri" w:hAnsi="Arial" w:cs="Arial"/>
          <w:b/>
          <w:color w:val="000000"/>
        </w:rPr>
      </w:pPr>
    </w:p>
    <w:p w:rsidR="009C1ED2" w:rsidRPr="00785D7D" w:rsidRDefault="009C1ED2" w:rsidP="009C1ED2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</w:rPr>
      </w:pPr>
    </w:p>
    <w:tbl>
      <w:tblPr>
        <w:tblW w:w="5134" w:type="pct"/>
        <w:tblCellSpacing w:w="20" w:type="dxa"/>
        <w:tblInd w:w="-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2262"/>
        <w:gridCol w:w="4723"/>
        <w:gridCol w:w="1520"/>
      </w:tblGrid>
      <w:tr w:rsidR="009C1ED2" w:rsidRPr="00785D7D" w:rsidTr="001E11C4">
        <w:trPr>
          <w:tblCellSpacing w:w="20" w:type="dxa"/>
        </w:trPr>
        <w:tc>
          <w:tcPr>
            <w:tcW w:w="1074" w:type="dxa"/>
            <w:shd w:val="clear" w:color="auto" w:fill="BFBFBF"/>
          </w:tcPr>
          <w:p w:rsidR="009C1ED2" w:rsidRPr="00785D7D" w:rsidRDefault="009C1ED2" w:rsidP="00E82083">
            <w:pPr>
              <w:keepNext/>
              <w:keepLines/>
              <w:spacing w:before="480"/>
              <w:outlineLvl w:val="0"/>
              <w:rPr>
                <w:b/>
                <w:bCs/>
              </w:rPr>
            </w:pPr>
            <w:r w:rsidRPr="00785D7D">
              <w:rPr>
                <w:b/>
                <w:bCs/>
              </w:rPr>
              <w:t>Lp.</w:t>
            </w:r>
          </w:p>
        </w:tc>
        <w:tc>
          <w:tcPr>
            <w:tcW w:w="2222" w:type="dxa"/>
            <w:shd w:val="clear" w:color="auto" w:fill="BFBFBF"/>
          </w:tcPr>
          <w:p w:rsidR="009C1ED2" w:rsidRPr="00785D7D" w:rsidRDefault="009C1ED2" w:rsidP="00E82083">
            <w:pPr>
              <w:keepNext/>
              <w:keepLines/>
              <w:spacing w:before="480"/>
              <w:outlineLvl w:val="0"/>
              <w:rPr>
                <w:b/>
                <w:bCs/>
              </w:rPr>
            </w:pPr>
            <w:r w:rsidRPr="00785D7D">
              <w:rPr>
                <w:b/>
                <w:bCs/>
              </w:rPr>
              <w:t>Lokalne kryterium oceny operacji</w:t>
            </w:r>
          </w:p>
        </w:tc>
        <w:tc>
          <w:tcPr>
            <w:tcW w:w="4683" w:type="dxa"/>
            <w:shd w:val="clear" w:color="auto" w:fill="BFBFBF"/>
            <w:vAlign w:val="center"/>
          </w:tcPr>
          <w:p w:rsidR="009C1ED2" w:rsidRPr="00785D7D" w:rsidRDefault="009C1ED2" w:rsidP="00E82083">
            <w:pPr>
              <w:keepNext/>
              <w:keepLines/>
              <w:spacing w:before="480"/>
              <w:outlineLvl w:val="0"/>
              <w:rPr>
                <w:b/>
                <w:bCs/>
              </w:rPr>
            </w:pPr>
            <w:r w:rsidRPr="00785D7D">
              <w:rPr>
                <w:b/>
                <w:bCs/>
              </w:rPr>
              <w:t>Opis kryterium lokalnego oceny operacji</w:t>
            </w:r>
          </w:p>
        </w:tc>
        <w:tc>
          <w:tcPr>
            <w:tcW w:w="1460" w:type="dxa"/>
            <w:shd w:val="clear" w:color="auto" w:fill="BFBFBF"/>
            <w:vAlign w:val="center"/>
          </w:tcPr>
          <w:p w:rsidR="009C1ED2" w:rsidRPr="00785D7D" w:rsidRDefault="009C1ED2" w:rsidP="00E82083">
            <w:pPr>
              <w:jc w:val="center"/>
              <w:rPr>
                <w:rFonts w:eastAsia="Calibri"/>
                <w:b/>
                <w:bCs/>
              </w:rPr>
            </w:pPr>
            <w:r w:rsidRPr="00785D7D">
              <w:rPr>
                <w:rFonts w:eastAsia="Calibri"/>
                <w:b/>
                <w:bCs/>
              </w:rPr>
              <w:t>Przyznana ocena</w:t>
            </w:r>
          </w:p>
        </w:tc>
      </w:tr>
      <w:tr w:rsidR="009C1ED2" w:rsidRPr="00785D7D" w:rsidTr="001E11C4">
        <w:trPr>
          <w:cantSplit/>
          <w:trHeight w:val="1019"/>
          <w:tblCellSpacing w:w="20" w:type="dxa"/>
        </w:trPr>
        <w:tc>
          <w:tcPr>
            <w:tcW w:w="1074" w:type="dxa"/>
            <w:vAlign w:val="center"/>
          </w:tcPr>
          <w:p w:rsidR="009C1ED2" w:rsidRPr="00785D7D" w:rsidRDefault="009C1ED2" w:rsidP="00E82083">
            <w:pPr>
              <w:ind w:left="305"/>
              <w:rPr>
                <w:rFonts w:eastAsia="Calibri"/>
              </w:rPr>
            </w:pPr>
            <w:r w:rsidRPr="00785D7D">
              <w:rPr>
                <w:rFonts w:eastAsia="Calibri"/>
              </w:rPr>
              <w:t>1.</w:t>
            </w:r>
          </w:p>
        </w:tc>
        <w:tc>
          <w:tcPr>
            <w:tcW w:w="2222" w:type="dxa"/>
            <w:shd w:val="clear" w:color="auto" w:fill="F2F2F2"/>
            <w:vAlign w:val="center"/>
          </w:tcPr>
          <w:p w:rsidR="009C1ED2" w:rsidRPr="00785D7D" w:rsidRDefault="009C1ED2" w:rsidP="00E82083">
            <w:pPr>
              <w:jc w:val="center"/>
              <w:rPr>
                <w:rFonts w:eastAsia="Calibri"/>
                <w:b/>
              </w:rPr>
            </w:pPr>
            <w:r w:rsidRPr="00785D7D">
              <w:rPr>
                <w:rFonts w:eastAsia="Calibri"/>
                <w:b/>
              </w:rPr>
              <w:t>Miejsce realizacji operacji – liczba mieszkańców objętych operacją</w:t>
            </w:r>
          </w:p>
        </w:tc>
        <w:tc>
          <w:tcPr>
            <w:tcW w:w="4683" w:type="dxa"/>
          </w:tcPr>
          <w:p w:rsidR="009C1ED2" w:rsidRPr="00785D7D" w:rsidRDefault="009C1ED2" w:rsidP="00E82083">
            <w:pPr>
              <w:rPr>
                <w:rFonts w:eastAsia="Calibri"/>
              </w:rPr>
            </w:pPr>
            <w:r w:rsidRPr="00785D7D">
              <w:rPr>
                <w:rFonts w:eastAsia="Calibri"/>
              </w:rPr>
              <w:t>Operacja będzie realizowana w miejscowości liczącej:</w:t>
            </w:r>
          </w:p>
          <w:p w:rsidR="009C1ED2" w:rsidRPr="00785D7D" w:rsidRDefault="009C1ED2" w:rsidP="009C1ED2">
            <w:pPr>
              <w:numPr>
                <w:ilvl w:val="0"/>
                <w:numId w:val="13"/>
              </w:numPr>
              <w:rPr>
                <w:rFonts w:eastAsia="Calibri"/>
                <w:color w:val="000000"/>
              </w:rPr>
            </w:pPr>
            <w:r w:rsidRPr="00785D7D">
              <w:rPr>
                <w:rFonts w:eastAsia="Calibri"/>
                <w:color w:val="000000"/>
              </w:rPr>
              <w:t xml:space="preserve">poniżej 1000 mieszkańców – </w:t>
            </w:r>
            <w:r w:rsidRPr="00785D7D">
              <w:rPr>
                <w:rFonts w:eastAsia="Calibri"/>
                <w:b/>
                <w:color w:val="000000"/>
              </w:rPr>
              <w:t>3</w:t>
            </w:r>
            <w:r w:rsidRPr="00785D7D">
              <w:rPr>
                <w:rFonts w:eastAsia="Calibri"/>
                <w:color w:val="000000"/>
              </w:rPr>
              <w:t xml:space="preserve"> pkt.</w:t>
            </w:r>
          </w:p>
          <w:p w:rsidR="009C1ED2" w:rsidRPr="00785D7D" w:rsidRDefault="009C1ED2" w:rsidP="009C1ED2">
            <w:pPr>
              <w:numPr>
                <w:ilvl w:val="0"/>
                <w:numId w:val="13"/>
              </w:numPr>
              <w:rPr>
                <w:rFonts w:eastAsia="Calibri"/>
                <w:color w:val="000000"/>
              </w:rPr>
            </w:pPr>
            <w:r w:rsidRPr="00785D7D">
              <w:rPr>
                <w:rFonts w:eastAsia="Calibri"/>
                <w:color w:val="000000"/>
              </w:rPr>
              <w:t xml:space="preserve">od 1 000- 2 000 mieszkańców – </w:t>
            </w:r>
            <w:r w:rsidRPr="00785D7D">
              <w:rPr>
                <w:rFonts w:eastAsia="Calibri"/>
                <w:b/>
                <w:color w:val="000000"/>
              </w:rPr>
              <w:t>2</w:t>
            </w:r>
            <w:r w:rsidRPr="00785D7D">
              <w:rPr>
                <w:rFonts w:eastAsia="Calibri"/>
                <w:color w:val="000000"/>
              </w:rPr>
              <w:t xml:space="preserve"> pkt.</w:t>
            </w:r>
          </w:p>
          <w:p w:rsidR="009C1ED2" w:rsidRPr="00785D7D" w:rsidRDefault="009C1ED2" w:rsidP="009C1ED2">
            <w:pPr>
              <w:numPr>
                <w:ilvl w:val="0"/>
                <w:numId w:val="13"/>
              </w:numPr>
              <w:rPr>
                <w:rFonts w:eastAsia="Calibri"/>
                <w:color w:val="000000"/>
              </w:rPr>
            </w:pPr>
            <w:r w:rsidRPr="00785D7D">
              <w:rPr>
                <w:rFonts w:eastAsia="Calibri"/>
                <w:color w:val="000000"/>
              </w:rPr>
              <w:t>powyżej 2 000 mieszkańców –</w:t>
            </w:r>
            <w:r w:rsidRPr="00785D7D">
              <w:rPr>
                <w:rFonts w:eastAsia="Calibri"/>
                <w:b/>
                <w:color w:val="000000"/>
              </w:rPr>
              <w:t xml:space="preserve"> 1</w:t>
            </w:r>
            <w:r w:rsidRPr="00785D7D">
              <w:rPr>
                <w:rFonts w:eastAsia="Calibri"/>
                <w:color w:val="000000"/>
              </w:rPr>
              <w:t xml:space="preserve"> pkt.</w:t>
            </w:r>
          </w:p>
        </w:tc>
        <w:tc>
          <w:tcPr>
            <w:tcW w:w="1460" w:type="dxa"/>
          </w:tcPr>
          <w:p w:rsidR="009C1ED2" w:rsidRPr="00785D7D" w:rsidRDefault="009C1ED2" w:rsidP="00E82083">
            <w:pPr>
              <w:rPr>
                <w:rFonts w:eastAsia="Calibri"/>
              </w:rPr>
            </w:pPr>
          </w:p>
        </w:tc>
      </w:tr>
      <w:tr w:rsidR="009C1ED2" w:rsidRPr="00785D7D" w:rsidTr="001E11C4">
        <w:trPr>
          <w:cantSplit/>
          <w:trHeight w:val="1012"/>
          <w:tblCellSpacing w:w="20" w:type="dxa"/>
        </w:trPr>
        <w:tc>
          <w:tcPr>
            <w:tcW w:w="1074" w:type="dxa"/>
            <w:vAlign w:val="center"/>
          </w:tcPr>
          <w:p w:rsidR="009C1ED2" w:rsidRPr="00785D7D" w:rsidRDefault="009C1ED2" w:rsidP="00E82083">
            <w:pPr>
              <w:ind w:left="113"/>
              <w:jc w:val="center"/>
              <w:rPr>
                <w:rFonts w:eastAsia="Calibri"/>
              </w:rPr>
            </w:pPr>
            <w:r w:rsidRPr="00785D7D">
              <w:rPr>
                <w:rFonts w:eastAsia="Calibri"/>
              </w:rPr>
              <w:t>2.</w:t>
            </w:r>
          </w:p>
        </w:tc>
        <w:tc>
          <w:tcPr>
            <w:tcW w:w="2222" w:type="dxa"/>
            <w:shd w:val="clear" w:color="auto" w:fill="F2F2F2"/>
            <w:vAlign w:val="center"/>
          </w:tcPr>
          <w:p w:rsidR="009C1ED2" w:rsidRPr="00785D7D" w:rsidRDefault="009C1ED2" w:rsidP="00E82083">
            <w:pPr>
              <w:jc w:val="center"/>
              <w:rPr>
                <w:rFonts w:eastAsia="Calibri"/>
                <w:b/>
              </w:rPr>
            </w:pPr>
            <w:r w:rsidRPr="00785D7D">
              <w:rPr>
                <w:rFonts w:eastAsia="Calibri"/>
                <w:b/>
              </w:rPr>
              <w:t>Wnioskowana kwota pomocy</w:t>
            </w:r>
          </w:p>
        </w:tc>
        <w:tc>
          <w:tcPr>
            <w:tcW w:w="4683" w:type="dxa"/>
          </w:tcPr>
          <w:p w:rsidR="009C1ED2" w:rsidRPr="00785D7D" w:rsidRDefault="009C1ED2" w:rsidP="00E82083">
            <w:pPr>
              <w:rPr>
                <w:rFonts w:eastAsia="Calibri"/>
              </w:rPr>
            </w:pPr>
            <w:r w:rsidRPr="00785D7D">
              <w:rPr>
                <w:rFonts w:eastAsia="Calibri"/>
              </w:rPr>
              <w:t>Wnioskowana kwota pomocy wynosi:</w:t>
            </w:r>
          </w:p>
          <w:p w:rsidR="009C1ED2" w:rsidRPr="00785D7D" w:rsidRDefault="009C1ED2" w:rsidP="009C1ED2">
            <w:pPr>
              <w:numPr>
                <w:ilvl w:val="0"/>
                <w:numId w:val="14"/>
              </w:numPr>
              <w:tabs>
                <w:tab w:val="left" w:pos="1133"/>
              </w:tabs>
              <w:ind w:hanging="12"/>
              <w:rPr>
                <w:rFonts w:eastAsia="Calibri"/>
                <w:color w:val="FF0000"/>
              </w:rPr>
            </w:pPr>
            <w:r w:rsidRPr="00785D7D">
              <w:rPr>
                <w:rFonts w:eastAsia="Calibri"/>
                <w:color w:val="000000"/>
              </w:rPr>
              <w:t xml:space="preserve">do 15 tys. zł. - </w:t>
            </w:r>
            <w:r w:rsidRPr="00785D7D">
              <w:rPr>
                <w:rFonts w:eastAsia="Calibri"/>
                <w:b/>
              </w:rPr>
              <w:t xml:space="preserve">0 </w:t>
            </w:r>
            <w:r w:rsidRPr="00785D7D">
              <w:rPr>
                <w:rFonts w:eastAsia="Calibri"/>
              </w:rPr>
              <w:t>pkt.</w:t>
            </w:r>
          </w:p>
          <w:p w:rsidR="009C1ED2" w:rsidRPr="00785D7D" w:rsidRDefault="009C1ED2" w:rsidP="009C1ED2">
            <w:pPr>
              <w:numPr>
                <w:ilvl w:val="0"/>
                <w:numId w:val="14"/>
              </w:numPr>
              <w:tabs>
                <w:tab w:val="left" w:pos="1133"/>
              </w:tabs>
              <w:ind w:hanging="12"/>
              <w:rPr>
                <w:rFonts w:eastAsia="Calibri"/>
                <w:color w:val="000000"/>
              </w:rPr>
            </w:pPr>
            <w:r w:rsidRPr="00785D7D">
              <w:rPr>
                <w:rFonts w:eastAsia="Calibri"/>
                <w:color w:val="000000"/>
              </w:rPr>
              <w:t>powyżej 15 tys. do 100 tys. –</w:t>
            </w:r>
            <w:r w:rsidRPr="00785D7D">
              <w:rPr>
                <w:rFonts w:eastAsia="Calibri"/>
                <w:b/>
                <w:color w:val="000000"/>
              </w:rPr>
              <w:t xml:space="preserve"> 1</w:t>
            </w:r>
            <w:r w:rsidRPr="00785D7D">
              <w:rPr>
                <w:rFonts w:eastAsia="Calibri"/>
                <w:color w:val="000000"/>
              </w:rPr>
              <w:t xml:space="preserve"> pkt.</w:t>
            </w:r>
          </w:p>
          <w:p w:rsidR="009C1ED2" w:rsidRPr="00785D7D" w:rsidRDefault="009C1ED2" w:rsidP="009C1ED2">
            <w:pPr>
              <w:numPr>
                <w:ilvl w:val="0"/>
                <w:numId w:val="14"/>
              </w:numPr>
              <w:tabs>
                <w:tab w:val="left" w:pos="1133"/>
              </w:tabs>
              <w:ind w:hanging="12"/>
              <w:rPr>
                <w:rFonts w:eastAsia="Calibri"/>
                <w:color w:val="000000"/>
              </w:rPr>
            </w:pPr>
            <w:r w:rsidRPr="00785D7D">
              <w:rPr>
                <w:rFonts w:eastAsia="Calibri"/>
                <w:color w:val="000000"/>
              </w:rPr>
              <w:t xml:space="preserve">pow. 100  tys.  – </w:t>
            </w:r>
            <w:r w:rsidRPr="00785D7D">
              <w:rPr>
                <w:rFonts w:eastAsia="Calibri"/>
                <w:b/>
              </w:rPr>
              <w:t>2</w:t>
            </w:r>
            <w:r w:rsidRPr="00785D7D">
              <w:rPr>
                <w:rFonts w:eastAsia="Calibri"/>
              </w:rPr>
              <w:t xml:space="preserve"> pkt.</w:t>
            </w:r>
          </w:p>
        </w:tc>
        <w:tc>
          <w:tcPr>
            <w:tcW w:w="1460" w:type="dxa"/>
          </w:tcPr>
          <w:p w:rsidR="009C1ED2" w:rsidRPr="00785D7D" w:rsidRDefault="009C1ED2" w:rsidP="00E82083">
            <w:pPr>
              <w:rPr>
                <w:rFonts w:eastAsia="Calibri"/>
              </w:rPr>
            </w:pPr>
          </w:p>
        </w:tc>
      </w:tr>
      <w:tr w:rsidR="009C1ED2" w:rsidRPr="00785D7D" w:rsidTr="001E11C4">
        <w:trPr>
          <w:cantSplit/>
          <w:trHeight w:val="1349"/>
          <w:tblCellSpacing w:w="20" w:type="dxa"/>
        </w:trPr>
        <w:tc>
          <w:tcPr>
            <w:tcW w:w="1074" w:type="dxa"/>
            <w:vAlign w:val="center"/>
          </w:tcPr>
          <w:p w:rsidR="009C1ED2" w:rsidRPr="00785D7D" w:rsidRDefault="009C1ED2" w:rsidP="00E82083">
            <w:pPr>
              <w:ind w:left="305"/>
              <w:jc w:val="center"/>
              <w:rPr>
                <w:rFonts w:eastAsia="Calibri"/>
              </w:rPr>
            </w:pPr>
            <w:r w:rsidRPr="00785D7D">
              <w:rPr>
                <w:rFonts w:eastAsia="Calibri"/>
              </w:rPr>
              <w:t>3.</w:t>
            </w:r>
          </w:p>
        </w:tc>
        <w:tc>
          <w:tcPr>
            <w:tcW w:w="2222" w:type="dxa"/>
            <w:shd w:val="clear" w:color="auto" w:fill="F2F2F2"/>
            <w:vAlign w:val="center"/>
          </w:tcPr>
          <w:p w:rsidR="009C1ED2" w:rsidRPr="00785D7D" w:rsidRDefault="009C1ED2" w:rsidP="00E82083">
            <w:pPr>
              <w:jc w:val="center"/>
              <w:rPr>
                <w:rFonts w:eastAsia="Calibri"/>
                <w:b/>
              </w:rPr>
            </w:pPr>
            <w:r w:rsidRPr="00785D7D">
              <w:rPr>
                <w:rFonts w:eastAsia="Calibri"/>
                <w:b/>
              </w:rPr>
              <w:t>Wkład własny Wnioskodawcy</w:t>
            </w:r>
          </w:p>
        </w:tc>
        <w:tc>
          <w:tcPr>
            <w:tcW w:w="4683" w:type="dxa"/>
          </w:tcPr>
          <w:p w:rsidR="009C1ED2" w:rsidRPr="00785D7D" w:rsidRDefault="009C1ED2" w:rsidP="00E82083">
            <w:pPr>
              <w:rPr>
                <w:rFonts w:eastAsia="Calibri"/>
              </w:rPr>
            </w:pPr>
            <w:r w:rsidRPr="00785D7D">
              <w:rPr>
                <w:rFonts w:eastAsia="Calibri"/>
              </w:rPr>
              <w:t>Preferuje operacje, dla których wkład własny Wnioskodawcy przekracza intensywność pomocy określoną w PROW 2014-2020:</w:t>
            </w:r>
          </w:p>
          <w:p w:rsidR="009C1ED2" w:rsidRPr="00785D7D" w:rsidRDefault="009C1ED2" w:rsidP="009C1ED2">
            <w:pPr>
              <w:numPr>
                <w:ilvl w:val="0"/>
                <w:numId w:val="13"/>
              </w:numPr>
              <w:rPr>
                <w:rFonts w:eastAsia="Calibri"/>
              </w:rPr>
            </w:pPr>
            <w:r w:rsidRPr="00785D7D">
              <w:rPr>
                <w:rFonts w:eastAsia="Calibri"/>
              </w:rPr>
              <w:t xml:space="preserve">wkład własny Wnioskodawcy nie przekracza intensywności pomocy – </w:t>
            </w:r>
            <w:r w:rsidRPr="00785D7D">
              <w:rPr>
                <w:rFonts w:eastAsia="Calibri"/>
                <w:b/>
              </w:rPr>
              <w:t>0</w:t>
            </w:r>
            <w:r w:rsidRPr="00785D7D">
              <w:rPr>
                <w:rFonts w:eastAsia="Calibri"/>
              </w:rPr>
              <w:t xml:space="preserve"> pkt.</w:t>
            </w:r>
          </w:p>
          <w:p w:rsidR="009C1ED2" w:rsidRPr="00785D7D" w:rsidRDefault="009C1ED2" w:rsidP="009C1ED2">
            <w:pPr>
              <w:numPr>
                <w:ilvl w:val="0"/>
                <w:numId w:val="13"/>
              </w:numPr>
              <w:rPr>
                <w:rFonts w:eastAsia="Calibri"/>
              </w:rPr>
            </w:pPr>
            <w:r w:rsidRPr="00785D7D">
              <w:rPr>
                <w:rFonts w:eastAsia="Calibri"/>
              </w:rPr>
              <w:t>wkład własny Wnioskodawcy przekracza intensywność pomocy o 5% –</w:t>
            </w:r>
            <w:r w:rsidRPr="00785D7D">
              <w:rPr>
                <w:rFonts w:eastAsia="Calibri"/>
                <w:b/>
              </w:rPr>
              <w:t xml:space="preserve"> 1</w:t>
            </w:r>
            <w:r w:rsidRPr="00785D7D">
              <w:rPr>
                <w:rFonts w:eastAsia="Calibri"/>
              </w:rPr>
              <w:t xml:space="preserve"> pkt.</w:t>
            </w:r>
          </w:p>
          <w:p w:rsidR="009C1ED2" w:rsidRPr="00785D7D" w:rsidRDefault="009C1ED2" w:rsidP="009C1ED2">
            <w:pPr>
              <w:numPr>
                <w:ilvl w:val="0"/>
                <w:numId w:val="13"/>
              </w:numPr>
              <w:rPr>
                <w:rFonts w:eastAsia="Calibri"/>
              </w:rPr>
            </w:pPr>
            <w:r w:rsidRPr="00785D7D">
              <w:rPr>
                <w:rFonts w:eastAsia="Calibri"/>
              </w:rPr>
              <w:t>wkład własny Wnioskodawcy przekracza intensywność pomocy o 10% –</w:t>
            </w:r>
            <w:r w:rsidRPr="00785D7D">
              <w:rPr>
                <w:rFonts w:eastAsia="Calibri"/>
                <w:b/>
              </w:rPr>
              <w:t xml:space="preserve"> 2</w:t>
            </w:r>
            <w:r w:rsidRPr="00785D7D">
              <w:rPr>
                <w:rFonts w:eastAsia="Calibri"/>
              </w:rPr>
              <w:t xml:space="preserve"> pkt.</w:t>
            </w:r>
          </w:p>
        </w:tc>
        <w:tc>
          <w:tcPr>
            <w:tcW w:w="1460" w:type="dxa"/>
          </w:tcPr>
          <w:p w:rsidR="009C1ED2" w:rsidRPr="00785D7D" w:rsidRDefault="009C1ED2" w:rsidP="00E82083">
            <w:pPr>
              <w:rPr>
                <w:rFonts w:eastAsia="Calibri"/>
              </w:rPr>
            </w:pPr>
          </w:p>
        </w:tc>
      </w:tr>
      <w:tr w:rsidR="009C1ED2" w:rsidRPr="00785D7D" w:rsidTr="001E11C4">
        <w:trPr>
          <w:cantSplit/>
          <w:trHeight w:val="1349"/>
          <w:tblCellSpacing w:w="20" w:type="dxa"/>
        </w:trPr>
        <w:tc>
          <w:tcPr>
            <w:tcW w:w="1074" w:type="dxa"/>
            <w:vAlign w:val="center"/>
          </w:tcPr>
          <w:p w:rsidR="009C1ED2" w:rsidRPr="00785D7D" w:rsidRDefault="009C1ED2" w:rsidP="00E82083">
            <w:pPr>
              <w:ind w:left="305"/>
              <w:rPr>
                <w:rFonts w:eastAsia="Calibri"/>
              </w:rPr>
            </w:pPr>
            <w:r w:rsidRPr="00785D7D">
              <w:rPr>
                <w:rFonts w:eastAsia="Calibri"/>
              </w:rPr>
              <w:lastRenderedPageBreak/>
              <w:t>4.</w:t>
            </w:r>
          </w:p>
        </w:tc>
        <w:tc>
          <w:tcPr>
            <w:tcW w:w="2222" w:type="dxa"/>
            <w:shd w:val="clear" w:color="auto" w:fill="F2F2F2"/>
            <w:vAlign w:val="center"/>
          </w:tcPr>
          <w:p w:rsidR="009C1ED2" w:rsidRPr="00785D7D" w:rsidRDefault="009C1ED2" w:rsidP="00E82083">
            <w:pPr>
              <w:jc w:val="center"/>
              <w:rPr>
                <w:rFonts w:eastAsia="Calibri"/>
                <w:b/>
              </w:rPr>
            </w:pPr>
            <w:r w:rsidRPr="00785D7D">
              <w:rPr>
                <w:rFonts w:eastAsia="Calibri"/>
                <w:b/>
              </w:rPr>
              <w:t>Wsparcie grup</w:t>
            </w:r>
          </w:p>
          <w:p w:rsidR="009C1ED2" w:rsidRPr="00785D7D" w:rsidRDefault="009C1ED2" w:rsidP="00E82083">
            <w:pPr>
              <w:jc w:val="center"/>
              <w:rPr>
                <w:rFonts w:eastAsia="Calibri"/>
                <w:color w:val="FF0000"/>
              </w:rPr>
            </w:pPr>
            <w:r w:rsidRPr="00785D7D">
              <w:rPr>
                <w:rFonts w:eastAsia="Calibri"/>
                <w:b/>
              </w:rPr>
              <w:t>defaworyzowanych</w:t>
            </w:r>
          </w:p>
        </w:tc>
        <w:tc>
          <w:tcPr>
            <w:tcW w:w="4683" w:type="dxa"/>
          </w:tcPr>
          <w:p w:rsidR="009C1ED2" w:rsidRPr="00785D7D" w:rsidRDefault="009C1ED2" w:rsidP="00E82083">
            <w:pPr>
              <w:rPr>
                <w:rFonts w:eastAsia="Calibri"/>
              </w:rPr>
            </w:pPr>
            <w:r w:rsidRPr="00785D7D">
              <w:rPr>
                <w:rFonts w:eastAsia="Calibri"/>
              </w:rPr>
              <w:t>Preferuje operacje przewidujące wsparcie grup defaworyzowanych ze względu na dostęp do rynku pracy, zdefiniowanych w LSR. Wniosek zawiera opis na czym polega udzielone wsparcie:</w:t>
            </w:r>
          </w:p>
          <w:p w:rsidR="009C1ED2" w:rsidRPr="00785D7D" w:rsidRDefault="009C1ED2" w:rsidP="009C1ED2">
            <w:pPr>
              <w:numPr>
                <w:ilvl w:val="0"/>
                <w:numId w:val="13"/>
              </w:numPr>
              <w:rPr>
                <w:rFonts w:eastAsia="Calibri"/>
                <w:color w:val="000000"/>
              </w:rPr>
            </w:pPr>
            <w:r w:rsidRPr="00785D7D">
              <w:rPr>
                <w:rFonts w:eastAsia="Calibri"/>
                <w:color w:val="000000"/>
              </w:rPr>
              <w:t xml:space="preserve">operacja nie przewiduje wsparcia grup defaworyzowanych – </w:t>
            </w:r>
            <w:r w:rsidRPr="00785D7D">
              <w:rPr>
                <w:rFonts w:eastAsia="Calibri"/>
                <w:b/>
                <w:color w:val="000000"/>
              </w:rPr>
              <w:t>0</w:t>
            </w:r>
            <w:r w:rsidRPr="00785D7D">
              <w:rPr>
                <w:rFonts w:eastAsia="Calibri"/>
                <w:color w:val="000000"/>
              </w:rPr>
              <w:t xml:space="preserve"> pkt.</w:t>
            </w:r>
          </w:p>
          <w:p w:rsidR="009C1ED2" w:rsidRPr="00785D7D" w:rsidRDefault="009C1ED2" w:rsidP="009C1ED2">
            <w:pPr>
              <w:numPr>
                <w:ilvl w:val="0"/>
                <w:numId w:val="13"/>
              </w:numPr>
              <w:rPr>
                <w:rFonts w:eastAsia="Calibri"/>
                <w:color w:val="000000"/>
              </w:rPr>
            </w:pPr>
            <w:r w:rsidRPr="00785D7D">
              <w:rPr>
                <w:rFonts w:eastAsia="Calibri"/>
                <w:color w:val="000000"/>
              </w:rPr>
              <w:t xml:space="preserve">liczba osób z grup defaworyzowanych objętych wsparciem do 10 osób – </w:t>
            </w:r>
            <w:r w:rsidRPr="00785D7D">
              <w:rPr>
                <w:rFonts w:eastAsia="Calibri"/>
                <w:b/>
                <w:color w:val="000000"/>
              </w:rPr>
              <w:t>1</w:t>
            </w:r>
            <w:r w:rsidRPr="00785D7D">
              <w:rPr>
                <w:rFonts w:eastAsia="Calibri"/>
                <w:color w:val="000000"/>
              </w:rPr>
              <w:t xml:space="preserve"> pkt.</w:t>
            </w:r>
          </w:p>
          <w:p w:rsidR="009C1ED2" w:rsidRPr="00785D7D" w:rsidRDefault="009C1ED2" w:rsidP="009C1ED2">
            <w:pPr>
              <w:numPr>
                <w:ilvl w:val="0"/>
                <w:numId w:val="13"/>
              </w:numPr>
              <w:rPr>
                <w:rFonts w:eastAsia="Calibri"/>
              </w:rPr>
            </w:pPr>
            <w:r w:rsidRPr="00785D7D">
              <w:rPr>
                <w:rFonts w:eastAsia="Calibri"/>
                <w:color w:val="000000"/>
              </w:rPr>
              <w:t xml:space="preserve">liczba osób z grup defaworyzowanych objętych wsparciem od 11 osób  do 20 osób – </w:t>
            </w:r>
            <w:r w:rsidRPr="00785D7D">
              <w:rPr>
                <w:rFonts w:eastAsia="Calibri"/>
                <w:b/>
                <w:color w:val="000000"/>
              </w:rPr>
              <w:t>2</w:t>
            </w:r>
            <w:r w:rsidRPr="00785D7D">
              <w:rPr>
                <w:rFonts w:eastAsia="Calibri"/>
                <w:color w:val="000000"/>
              </w:rPr>
              <w:t xml:space="preserve"> pkt.</w:t>
            </w:r>
          </w:p>
          <w:p w:rsidR="009C1ED2" w:rsidRPr="00785D7D" w:rsidRDefault="009C1ED2" w:rsidP="009C1ED2">
            <w:pPr>
              <w:numPr>
                <w:ilvl w:val="0"/>
                <w:numId w:val="13"/>
              </w:numPr>
              <w:rPr>
                <w:rFonts w:eastAsia="Calibri"/>
              </w:rPr>
            </w:pPr>
            <w:r w:rsidRPr="00785D7D">
              <w:rPr>
                <w:rFonts w:eastAsia="Calibri"/>
                <w:color w:val="000000"/>
              </w:rPr>
              <w:t xml:space="preserve">liczba osób z grup defaworyzowanych objętych wsparciem powyżej 20 osób – </w:t>
            </w:r>
            <w:r w:rsidRPr="00785D7D">
              <w:rPr>
                <w:rFonts w:eastAsia="Calibri"/>
                <w:b/>
                <w:color w:val="000000"/>
              </w:rPr>
              <w:t>3</w:t>
            </w:r>
            <w:r w:rsidRPr="00785D7D">
              <w:rPr>
                <w:rFonts w:eastAsia="Calibri"/>
                <w:color w:val="000000"/>
              </w:rPr>
              <w:t xml:space="preserve"> pkt.</w:t>
            </w:r>
          </w:p>
        </w:tc>
        <w:tc>
          <w:tcPr>
            <w:tcW w:w="1460" w:type="dxa"/>
          </w:tcPr>
          <w:p w:rsidR="009C1ED2" w:rsidRPr="00785D7D" w:rsidRDefault="009C1ED2" w:rsidP="00E82083">
            <w:pPr>
              <w:rPr>
                <w:rFonts w:eastAsia="Calibri"/>
              </w:rPr>
            </w:pPr>
          </w:p>
        </w:tc>
      </w:tr>
      <w:tr w:rsidR="009C1ED2" w:rsidRPr="00785D7D" w:rsidTr="001E11C4">
        <w:trPr>
          <w:cantSplit/>
          <w:trHeight w:val="1349"/>
          <w:tblCellSpacing w:w="20" w:type="dxa"/>
        </w:trPr>
        <w:tc>
          <w:tcPr>
            <w:tcW w:w="1074" w:type="dxa"/>
            <w:vAlign w:val="center"/>
          </w:tcPr>
          <w:p w:rsidR="009C1ED2" w:rsidRPr="00785D7D" w:rsidRDefault="009C1ED2" w:rsidP="00E82083">
            <w:pPr>
              <w:ind w:left="305"/>
              <w:rPr>
                <w:rFonts w:eastAsia="Calibri"/>
              </w:rPr>
            </w:pPr>
            <w:r w:rsidRPr="00785D7D">
              <w:rPr>
                <w:rFonts w:eastAsia="Calibri"/>
              </w:rPr>
              <w:t>5.</w:t>
            </w:r>
          </w:p>
        </w:tc>
        <w:tc>
          <w:tcPr>
            <w:tcW w:w="2222" w:type="dxa"/>
            <w:shd w:val="clear" w:color="auto" w:fill="F2F2F2"/>
            <w:vAlign w:val="center"/>
          </w:tcPr>
          <w:p w:rsidR="009C1ED2" w:rsidRPr="00785D7D" w:rsidRDefault="009C1ED2" w:rsidP="00E82083">
            <w:pPr>
              <w:jc w:val="center"/>
              <w:rPr>
                <w:rFonts w:eastAsia="Calibri"/>
                <w:b/>
              </w:rPr>
            </w:pPr>
            <w:r w:rsidRPr="00785D7D">
              <w:rPr>
                <w:rFonts w:eastAsia="Calibri"/>
                <w:b/>
              </w:rPr>
              <w:t xml:space="preserve">Wpływ operacji na zrównoważony rozwój infrastruktury technicznej i społecznej na obszarach wiejskich / rozwój i promocja turystyki oraz dziedzictwa kulturowego obszaru LGD </w:t>
            </w:r>
          </w:p>
          <w:p w:rsidR="009C1ED2" w:rsidRPr="00785D7D" w:rsidRDefault="009C1ED2" w:rsidP="00E82083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683" w:type="dxa"/>
          </w:tcPr>
          <w:p w:rsidR="009C1ED2" w:rsidRPr="00785D7D" w:rsidRDefault="009C1ED2" w:rsidP="00E82083">
            <w:pPr>
              <w:rPr>
                <w:rFonts w:eastAsia="Calibri"/>
              </w:rPr>
            </w:pPr>
            <w:r w:rsidRPr="00785D7D">
              <w:rPr>
                <w:rFonts w:eastAsia="Calibri"/>
              </w:rPr>
              <w:t>Realizacja projektu wpłynie na:</w:t>
            </w:r>
          </w:p>
          <w:p w:rsidR="009C1ED2" w:rsidRPr="00785D7D" w:rsidRDefault="009C1ED2" w:rsidP="00E82083">
            <w:pPr>
              <w:rPr>
                <w:rFonts w:eastAsia="Calibri"/>
              </w:rPr>
            </w:pPr>
          </w:p>
          <w:p w:rsidR="009C1ED2" w:rsidRPr="00785D7D" w:rsidRDefault="009C1ED2" w:rsidP="009C1ED2">
            <w:pPr>
              <w:numPr>
                <w:ilvl w:val="0"/>
                <w:numId w:val="15"/>
              </w:numPr>
              <w:contextualSpacing/>
            </w:pPr>
            <w:r w:rsidRPr="00785D7D">
              <w:t xml:space="preserve">zrównoważony rozwój infrastruktury technicznej i społecznej na obszarach wiejskich </w:t>
            </w:r>
          </w:p>
          <w:p w:rsidR="009C1ED2" w:rsidRPr="00785D7D" w:rsidRDefault="009C1ED2" w:rsidP="009C1ED2">
            <w:pPr>
              <w:numPr>
                <w:ilvl w:val="0"/>
                <w:numId w:val="15"/>
              </w:numPr>
              <w:contextualSpacing/>
            </w:pPr>
            <w:r w:rsidRPr="00785D7D">
              <w:t xml:space="preserve"> rozwój i promocja turystyki oraz dziedzictwa kulturowego obszaru LGD</w:t>
            </w:r>
          </w:p>
          <w:p w:rsidR="009C1ED2" w:rsidRPr="00785D7D" w:rsidRDefault="009C1ED2" w:rsidP="00E82083">
            <w:pPr>
              <w:rPr>
                <w:rFonts w:eastAsia="Calibri"/>
              </w:rPr>
            </w:pPr>
          </w:p>
          <w:p w:rsidR="009C1ED2" w:rsidRPr="00785D7D" w:rsidRDefault="009C1ED2" w:rsidP="00E82083">
            <w:pPr>
              <w:rPr>
                <w:rFonts w:eastAsia="Calibri"/>
              </w:rPr>
            </w:pPr>
            <w:r w:rsidRPr="00785D7D">
              <w:rPr>
                <w:rFonts w:eastAsia="Calibri"/>
              </w:rPr>
              <w:t>Realizacja projektu wpłynie na:</w:t>
            </w:r>
          </w:p>
          <w:p w:rsidR="009C1ED2" w:rsidRPr="00785D7D" w:rsidRDefault="009C1ED2" w:rsidP="009C1ED2">
            <w:pPr>
              <w:numPr>
                <w:ilvl w:val="0"/>
                <w:numId w:val="16"/>
              </w:numPr>
              <w:contextualSpacing/>
            </w:pPr>
            <w:r w:rsidRPr="00785D7D">
              <w:t xml:space="preserve">Na punkt 1 i 2 – </w:t>
            </w:r>
            <w:r w:rsidRPr="00785D7D">
              <w:rPr>
                <w:b/>
              </w:rPr>
              <w:t>2</w:t>
            </w:r>
            <w:r w:rsidRPr="00785D7D">
              <w:t xml:space="preserve"> pkt</w:t>
            </w:r>
          </w:p>
          <w:p w:rsidR="009C1ED2" w:rsidRPr="00785D7D" w:rsidRDefault="009C1ED2" w:rsidP="009C1ED2">
            <w:pPr>
              <w:numPr>
                <w:ilvl w:val="0"/>
                <w:numId w:val="16"/>
              </w:numPr>
              <w:contextualSpacing/>
            </w:pPr>
            <w:r w:rsidRPr="00785D7D">
              <w:t xml:space="preserve">Na punkt 1 lub 2 – </w:t>
            </w:r>
            <w:r w:rsidRPr="00785D7D">
              <w:rPr>
                <w:b/>
              </w:rPr>
              <w:t>1</w:t>
            </w:r>
            <w:r w:rsidRPr="00785D7D">
              <w:t xml:space="preserve"> pkt</w:t>
            </w:r>
          </w:p>
          <w:p w:rsidR="009C1ED2" w:rsidRPr="00785D7D" w:rsidRDefault="009C1ED2" w:rsidP="009C1ED2">
            <w:pPr>
              <w:numPr>
                <w:ilvl w:val="0"/>
                <w:numId w:val="16"/>
              </w:numPr>
              <w:contextualSpacing/>
            </w:pPr>
            <w:r w:rsidRPr="00785D7D">
              <w:t xml:space="preserve">Na żaden z punktów – </w:t>
            </w:r>
            <w:r w:rsidRPr="00785D7D">
              <w:rPr>
                <w:b/>
              </w:rPr>
              <w:t>0</w:t>
            </w:r>
            <w:r w:rsidRPr="00785D7D">
              <w:t xml:space="preserve"> pkt</w:t>
            </w:r>
          </w:p>
          <w:p w:rsidR="009C1ED2" w:rsidRPr="00785D7D" w:rsidRDefault="009C1ED2" w:rsidP="00E82083">
            <w:pPr>
              <w:rPr>
                <w:rFonts w:eastAsia="Calibri"/>
              </w:rPr>
            </w:pPr>
          </w:p>
        </w:tc>
        <w:tc>
          <w:tcPr>
            <w:tcW w:w="1460" w:type="dxa"/>
          </w:tcPr>
          <w:p w:rsidR="009C1ED2" w:rsidRPr="00785D7D" w:rsidRDefault="009C1ED2" w:rsidP="00E82083">
            <w:pPr>
              <w:rPr>
                <w:rFonts w:eastAsia="Calibri"/>
              </w:rPr>
            </w:pPr>
          </w:p>
        </w:tc>
      </w:tr>
      <w:tr w:rsidR="009C1ED2" w:rsidRPr="00785D7D" w:rsidTr="001E11C4">
        <w:trPr>
          <w:cantSplit/>
          <w:trHeight w:val="1349"/>
          <w:tblCellSpacing w:w="20" w:type="dxa"/>
        </w:trPr>
        <w:tc>
          <w:tcPr>
            <w:tcW w:w="1074" w:type="dxa"/>
            <w:vAlign w:val="center"/>
          </w:tcPr>
          <w:p w:rsidR="009C1ED2" w:rsidRPr="00785D7D" w:rsidRDefault="009C1ED2" w:rsidP="00E82083">
            <w:pPr>
              <w:ind w:left="360"/>
              <w:rPr>
                <w:rFonts w:eastAsia="Calibri"/>
              </w:rPr>
            </w:pPr>
            <w:r w:rsidRPr="00785D7D">
              <w:rPr>
                <w:rFonts w:eastAsia="Calibri"/>
              </w:rPr>
              <w:t>6.</w:t>
            </w:r>
          </w:p>
        </w:tc>
        <w:tc>
          <w:tcPr>
            <w:tcW w:w="2222" w:type="dxa"/>
            <w:shd w:val="clear" w:color="auto" w:fill="F2F2F2"/>
            <w:vAlign w:val="center"/>
          </w:tcPr>
          <w:p w:rsidR="009C1ED2" w:rsidRPr="00785D7D" w:rsidRDefault="009C1ED2" w:rsidP="00E82083">
            <w:pPr>
              <w:jc w:val="center"/>
              <w:rPr>
                <w:rFonts w:eastAsia="Calibri"/>
                <w:b/>
              </w:rPr>
            </w:pPr>
            <w:r w:rsidRPr="00785D7D">
              <w:rPr>
                <w:rFonts w:eastAsia="Calibri"/>
                <w:b/>
              </w:rPr>
              <w:t>Wpływ na ochronę środowiska lub klimatu</w:t>
            </w:r>
          </w:p>
        </w:tc>
        <w:tc>
          <w:tcPr>
            <w:tcW w:w="4683" w:type="dxa"/>
          </w:tcPr>
          <w:p w:rsidR="009C1ED2" w:rsidRPr="00785D7D" w:rsidRDefault="009C1ED2" w:rsidP="00E82083">
            <w:pPr>
              <w:rPr>
                <w:rFonts w:eastAsia="Calibri"/>
              </w:rPr>
            </w:pPr>
            <w:r w:rsidRPr="00785D7D">
              <w:rPr>
                <w:rFonts w:eastAsia="Calibri"/>
              </w:rPr>
              <w:t>Preferuje się operacje przewidujące zastosowanie rozwiązań sprzyjających ochronie środowiska lub klimatu. Należy opisać planowane rozwiązania:</w:t>
            </w:r>
          </w:p>
          <w:p w:rsidR="009C1ED2" w:rsidRPr="00785D7D" w:rsidRDefault="009C1ED2" w:rsidP="009C1ED2">
            <w:pPr>
              <w:numPr>
                <w:ilvl w:val="0"/>
                <w:numId w:val="13"/>
              </w:numPr>
              <w:rPr>
                <w:rFonts w:eastAsia="Calibri"/>
                <w:color w:val="000000"/>
              </w:rPr>
            </w:pPr>
            <w:r w:rsidRPr="00785D7D">
              <w:rPr>
                <w:rFonts w:eastAsia="Calibri"/>
                <w:color w:val="000000"/>
              </w:rPr>
              <w:t xml:space="preserve">operacja nie przewiduje zastosowania ww. rozwiązań – </w:t>
            </w:r>
            <w:r w:rsidRPr="00785D7D">
              <w:rPr>
                <w:rFonts w:eastAsia="Calibri"/>
                <w:b/>
                <w:color w:val="000000"/>
              </w:rPr>
              <w:t>0</w:t>
            </w:r>
            <w:r w:rsidRPr="00785D7D">
              <w:rPr>
                <w:rFonts w:eastAsia="Calibri"/>
                <w:color w:val="000000"/>
              </w:rPr>
              <w:t xml:space="preserve"> pkt.</w:t>
            </w:r>
          </w:p>
          <w:p w:rsidR="009C1ED2" w:rsidRPr="00785D7D" w:rsidRDefault="009C1ED2" w:rsidP="009C1ED2">
            <w:pPr>
              <w:numPr>
                <w:ilvl w:val="0"/>
                <w:numId w:val="13"/>
              </w:numPr>
              <w:rPr>
                <w:rFonts w:eastAsia="Calibri"/>
                <w:color w:val="000000"/>
              </w:rPr>
            </w:pPr>
            <w:r w:rsidRPr="00785D7D">
              <w:rPr>
                <w:rFonts w:eastAsia="Calibri"/>
                <w:color w:val="000000"/>
              </w:rPr>
              <w:t xml:space="preserve">operacja przewiduje zastosowanie ww. rozwiązania – </w:t>
            </w:r>
            <w:r w:rsidRPr="00785D7D">
              <w:rPr>
                <w:rFonts w:eastAsia="Calibri"/>
                <w:color w:val="000000"/>
              </w:rPr>
              <w:br/>
            </w:r>
            <w:r w:rsidRPr="00785D7D">
              <w:rPr>
                <w:rFonts w:eastAsia="Calibri"/>
                <w:b/>
                <w:color w:val="000000"/>
              </w:rPr>
              <w:t>1</w:t>
            </w:r>
            <w:r w:rsidRPr="00785D7D">
              <w:rPr>
                <w:rFonts w:eastAsia="Calibri"/>
                <w:color w:val="000000"/>
              </w:rPr>
              <w:t xml:space="preserve"> pkt.</w:t>
            </w:r>
          </w:p>
        </w:tc>
        <w:tc>
          <w:tcPr>
            <w:tcW w:w="1460" w:type="dxa"/>
          </w:tcPr>
          <w:p w:rsidR="009C1ED2" w:rsidRPr="00785D7D" w:rsidRDefault="009C1ED2" w:rsidP="00E82083">
            <w:pPr>
              <w:rPr>
                <w:rFonts w:eastAsia="Calibri"/>
              </w:rPr>
            </w:pPr>
          </w:p>
        </w:tc>
      </w:tr>
      <w:tr w:rsidR="009C1ED2" w:rsidRPr="00785D7D" w:rsidTr="001E11C4">
        <w:trPr>
          <w:cantSplit/>
          <w:trHeight w:val="1349"/>
          <w:tblCellSpacing w:w="20" w:type="dxa"/>
        </w:trPr>
        <w:tc>
          <w:tcPr>
            <w:tcW w:w="1074" w:type="dxa"/>
            <w:vAlign w:val="center"/>
          </w:tcPr>
          <w:p w:rsidR="009C1ED2" w:rsidRPr="00785D7D" w:rsidRDefault="009C1ED2" w:rsidP="00E82083">
            <w:pPr>
              <w:ind w:left="360"/>
              <w:rPr>
                <w:rFonts w:eastAsia="Calibri"/>
              </w:rPr>
            </w:pPr>
            <w:r w:rsidRPr="00785D7D">
              <w:rPr>
                <w:rFonts w:eastAsia="Calibri"/>
              </w:rPr>
              <w:t>7.</w:t>
            </w:r>
          </w:p>
        </w:tc>
        <w:tc>
          <w:tcPr>
            <w:tcW w:w="2222" w:type="dxa"/>
            <w:shd w:val="clear" w:color="auto" w:fill="F2F2F2"/>
            <w:vAlign w:val="center"/>
          </w:tcPr>
          <w:p w:rsidR="009C1ED2" w:rsidRPr="00785D7D" w:rsidRDefault="009C1ED2" w:rsidP="00E82083">
            <w:pPr>
              <w:jc w:val="center"/>
              <w:rPr>
                <w:rFonts w:eastAsia="Calibri"/>
                <w:b/>
              </w:rPr>
            </w:pPr>
            <w:r w:rsidRPr="00785D7D">
              <w:rPr>
                <w:rFonts w:eastAsia="Calibri"/>
                <w:b/>
              </w:rPr>
              <w:t>Gotowość do realizacji operacji</w:t>
            </w:r>
          </w:p>
        </w:tc>
        <w:tc>
          <w:tcPr>
            <w:tcW w:w="4683" w:type="dxa"/>
          </w:tcPr>
          <w:p w:rsidR="009C1ED2" w:rsidRPr="00785D7D" w:rsidRDefault="009C1ED2" w:rsidP="00E82083">
            <w:pPr>
              <w:rPr>
                <w:rFonts w:eastAsia="Calibri"/>
                <w:color w:val="000000"/>
              </w:rPr>
            </w:pPr>
            <w:r w:rsidRPr="00785D7D">
              <w:rPr>
                <w:rFonts w:eastAsia="Calibri"/>
                <w:color w:val="000000"/>
              </w:rPr>
              <w:t>Preferuje Wnioskodawców, którzy przedłożyli kompletną dokumentację zawierającą wszystkie dokumenty, w tym oferty, projekty budowlane, kosztorysy, zgody, pozwolenia, opinie niezbędne do realizacji tej operacji:</w:t>
            </w:r>
          </w:p>
          <w:p w:rsidR="009C1ED2" w:rsidRPr="00785D7D" w:rsidRDefault="009C1ED2" w:rsidP="009C1ED2">
            <w:pPr>
              <w:numPr>
                <w:ilvl w:val="0"/>
                <w:numId w:val="13"/>
              </w:numPr>
              <w:rPr>
                <w:rFonts w:eastAsia="Calibri"/>
                <w:color w:val="000000"/>
              </w:rPr>
            </w:pPr>
            <w:r w:rsidRPr="00785D7D">
              <w:rPr>
                <w:rFonts w:eastAsia="Calibri"/>
                <w:color w:val="000000"/>
              </w:rPr>
              <w:t>Wnioskodawca przedłożył dokumentację zawierającą braki –</w:t>
            </w:r>
            <w:r w:rsidRPr="00785D7D">
              <w:rPr>
                <w:rFonts w:eastAsia="Calibri"/>
                <w:b/>
                <w:color w:val="000000"/>
              </w:rPr>
              <w:t xml:space="preserve"> 0</w:t>
            </w:r>
            <w:r w:rsidRPr="00785D7D">
              <w:rPr>
                <w:rFonts w:eastAsia="Calibri"/>
                <w:color w:val="000000"/>
              </w:rPr>
              <w:t xml:space="preserve"> pkt.</w:t>
            </w:r>
          </w:p>
          <w:p w:rsidR="009C1ED2" w:rsidRPr="00785D7D" w:rsidRDefault="009C1ED2" w:rsidP="009C1ED2">
            <w:pPr>
              <w:numPr>
                <w:ilvl w:val="0"/>
                <w:numId w:val="13"/>
              </w:numPr>
              <w:rPr>
                <w:rFonts w:eastAsia="Calibri"/>
                <w:color w:val="000000"/>
              </w:rPr>
            </w:pPr>
            <w:r w:rsidRPr="00785D7D">
              <w:rPr>
                <w:rFonts w:eastAsia="Calibri"/>
                <w:color w:val="000000"/>
              </w:rPr>
              <w:t xml:space="preserve">Wnioskodawca przedłożył kompletną dokumentację – </w:t>
            </w:r>
            <w:r w:rsidRPr="00785D7D">
              <w:rPr>
                <w:rFonts w:eastAsia="Calibri"/>
                <w:color w:val="000000"/>
              </w:rPr>
              <w:br/>
            </w:r>
            <w:r w:rsidRPr="00785D7D">
              <w:rPr>
                <w:rFonts w:eastAsia="Calibri"/>
                <w:b/>
                <w:color w:val="000000"/>
              </w:rPr>
              <w:t>1</w:t>
            </w:r>
            <w:r w:rsidRPr="00785D7D">
              <w:rPr>
                <w:rFonts w:eastAsia="Calibri"/>
                <w:color w:val="000000"/>
              </w:rPr>
              <w:t xml:space="preserve"> pkt.</w:t>
            </w:r>
          </w:p>
        </w:tc>
        <w:tc>
          <w:tcPr>
            <w:tcW w:w="1460" w:type="dxa"/>
          </w:tcPr>
          <w:p w:rsidR="009C1ED2" w:rsidRPr="00785D7D" w:rsidRDefault="009C1ED2" w:rsidP="00E82083">
            <w:pPr>
              <w:rPr>
                <w:rFonts w:eastAsia="Calibri"/>
              </w:rPr>
            </w:pPr>
          </w:p>
        </w:tc>
      </w:tr>
      <w:tr w:rsidR="009C1ED2" w:rsidRPr="00785D7D" w:rsidTr="001E11C4">
        <w:trPr>
          <w:cantSplit/>
          <w:trHeight w:val="1349"/>
          <w:tblCellSpacing w:w="20" w:type="dxa"/>
        </w:trPr>
        <w:tc>
          <w:tcPr>
            <w:tcW w:w="1074" w:type="dxa"/>
            <w:vAlign w:val="center"/>
          </w:tcPr>
          <w:p w:rsidR="009C1ED2" w:rsidRPr="00785D7D" w:rsidRDefault="009C1ED2" w:rsidP="00E82083">
            <w:pPr>
              <w:ind w:left="360"/>
              <w:rPr>
                <w:rFonts w:eastAsia="Calibri"/>
              </w:rPr>
            </w:pPr>
            <w:r w:rsidRPr="00785D7D">
              <w:rPr>
                <w:rFonts w:eastAsia="Calibri"/>
              </w:rPr>
              <w:lastRenderedPageBreak/>
              <w:t>8.</w:t>
            </w:r>
          </w:p>
        </w:tc>
        <w:tc>
          <w:tcPr>
            <w:tcW w:w="2222" w:type="dxa"/>
            <w:shd w:val="clear" w:color="auto" w:fill="F2F2F2"/>
            <w:vAlign w:val="center"/>
          </w:tcPr>
          <w:p w:rsidR="009C1ED2" w:rsidRPr="00785D7D" w:rsidRDefault="009C1ED2" w:rsidP="00E82083">
            <w:pPr>
              <w:jc w:val="center"/>
              <w:rPr>
                <w:rFonts w:eastAsia="Calibri"/>
                <w:b/>
              </w:rPr>
            </w:pPr>
            <w:r w:rsidRPr="00785D7D">
              <w:rPr>
                <w:rFonts w:eastAsia="Calibri"/>
                <w:b/>
              </w:rPr>
              <w:t>Zapotrzebowanie</w:t>
            </w:r>
          </w:p>
          <w:p w:rsidR="009C1ED2" w:rsidRPr="00785D7D" w:rsidRDefault="009C1ED2" w:rsidP="00E82083">
            <w:pPr>
              <w:jc w:val="center"/>
              <w:rPr>
                <w:rFonts w:eastAsia="Calibri"/>
                <w:b/>
              </w:rPr>
            </w:pPr>
            <w:r w:rsidRPr="00785D7D">
              <w:rPr>
                <w:rFonts w:eastAsia="Calibri"/>
                <w:b/>
              </w:rPr>
              <w:t>na produkty operacji</w:t>
            </w:r>
          </w:p>
        </w:tc>
        <w:tc>
          <w:tcPr>
            <w:tcW w:w="4683" w:type="dxa"/>
          </w:tcPr>
          <w:p w:rsidR="009C1ED2" w:rsidRPr="00785D7D" w:rsidRDefault="009C1ED2" w:rsidP="00E82083">
            <w:pPr>
              <w:rPr>
                <w:rFonts w:eastAsia="Calibri"/>
                <w:color w:val="000000"/>
              </w:rPr>
            </w:pPr>
            <w:r w:rsidRPr="00785D7D">
              <w:rPr>
                <w:rFonts w:eastAsia="Calibri"/>
                <w:color w:val="000000"/>
              </w:rPr>
              <w:t>Preferuje operacje będące odpowiedzią na zidentyfikowany w analizie SWOT LSR problem występujący na obszarze LSR. Należy opisać otoczenie operacji, występujący problem i w jaki sposób realizacja operacji przyczynia się do rozwiązania tego problemu:</w:t>
            </w:r>
          </w:p>
          <w:p w:rsidR="009C1ED2" w:rsidRPr="00785D7D" w:rsidRDefault="009C1ED2" w:rsidP="009C1ED2">
            <w:pPr>
              <w:numPr>
                <w:ilvl w:val="0"/>
                <w:numId w:val="13"/>
              </w:numPr>
              <w:rPr>
                <w:rFonts w:eastAsia="Calibri"/>
                <w:color w:val="000000"/>
              </w:rPr>
            </w:pPr>
            <w:r w:rsidRPr="00785D7D">
              <w:rPr>
                <w:rFonts w:eastAsia="Calibri"/>
                <w:color w:val="000000"/>
              </w:rPr>
              <w:t xml:space="preserve">operacja nie przyczynia się do rozwiązania żadnego zidentyfikowanego na obszarze LSR problemu – </w:t>
            </w:r>
            <w:r w:rsidRPr="00785D7D">
              <w:rPr>
                <w:rFonts w:eastAsia="Calibri"/>
                <w:b/>
                <w:color w:val="000000"/>
              </w:rPr>
              <w:t>0</w:t>
            </w:r>
            <w:r w:rsidRPr="00785D7D">
              <w:rPr>
                <w:rFonts w:eastAsia="Calibri"/>
                <w:color w:val="000000"/>
              </w:rPr>
              <w:t xml:space="preserve"> pkt.</w:t>
            </w:r>
          </w:p>
          <w:p w:rsidR="009C1ED2" w:rsidRPr="00785D7D" w:rsidRDefault="009C1ED2" w:rsidP="009C1ED2">
            <w:pPr>
              <w:numPr>
                <w:ilvl w:val="0"/>
                <w:numId w:val="13"/>
              </w:numPr>
              <w:rPr>
                <w:rFonts w:eastAsia="Calibri"/>
                <w:color w:val="000000"/>
              </w:rPr>
            </w:pPr>
            <w:r w:rsidRPr="00785D7D">
              <w:rPr>
                <w:rFonts w:eastAsia="Calibri"/>
                <w:color w:val="000000"/>
              </w:rPr>
              <w:t xml:space="preserve">operacja przyczynia się do rozwiązania zidentyfikowanego na obszarze LSR problemu – </w:t>
            </w:r>
            <w:r w:rsidRPr="00785D7D">
              <w:rPr>
                <w:rFonts w:eastAsia="Calibri"/>
                <w:b/>
                <w:color w:val="000000"/>
              </w:rPr>
              <w:t>1</w:t>
            </w:r>
            <w:r w:rsidRPr="00785D7D">
              <w:rPr>
                <w:rFonts w:eastAsia="Calibri"/>
                <w:color w:val="000000"/>
              </w:rPr>
              <w:t xml:space="preserve"> pkt.</w:t>
            </w:r>
          </w:p>
        </w:tc>
        <w:tc>
          <w:tcPr>
            <w:tcW w:w="1460" w:type="dxa"/>
          </w:tcPr>
          <w:p w:rsidR="009C1ED2" w:rsidRPr="00785D7D" w:rsidRDefault="009C1ED2" w:rsidP="00E82083">
            <w:pPr>
              <w:rPr>
                <w:rFonts w:eastAsia="Calibri"/>
              </w:rPr>
            </w:pPr>
          </w:p>
        </w:tc>
      </w:tr>
      <w:tr w:rsidR="009C1ED2" w:rsidRPr="00785D7D" w:rsidTr="001E11C4">
        <w:trPr>
          <w:cantSplit/>
          <w:trHeight w:val="1349"/>
          <w:tblCellSpacing w:w="20" w:type="dxa"/>
        </w:trPr>
        <w:tc>
          <w:tcPr>
            <w:tcW w:w="1074" w:type="dxa"/>
            <w:vAlign w:val="center"/>
          </w:tcPr>
          <w:p w:rsidR="009C1ED2" w:rsidRPr="00785D7D" w:rsidRDefault="009C1ED2" w:rsidP="00E82083">
            <w:pPr>
              <w:ind w:left="360"/>
              <w:rPr>
                <w:rFonts w:eastAsia="Calibri"/>
              </w:rPr>
            </w:pPr>
            <w:r w:rsidRPr="00785D7D">
              <w:rPr>
                <w:rFonts w:eastAsia="Calibri"/>
              </w:rPr>
              <w:t>9.</w:t>
            </w:r>
          </w:p>
        </w:tc>
        <w:tc>
          <w:tcPr>
            <w:tcW w:w="2222" w:type="dxa"/>
            <w:shd w:val="clear" w:color="auto" w:fill="F2F2F2"/>
            <w:vAlign w:val="center"/>
          </w:tcPr>
          <w:p w:rsidR="009C1ED2" w:rsidRPr="00785D7D" w:rsidRDefault="009C1ED2" w:rsidP="00E82083">
            <w:pPr>
              <w:jc w:val="center"/>
              <w:rPr>
                <w:rFonts w:eastAsia="Calibri"/>
                <w:b/>
              </w:rPr>
            </w:pPr>
            <w:r w:rsidRPr="00785D7D">
              <w:rPr>
                <w:rFonts w:eastAsia="Calibri"/>
                <w:b/>
              </w:rPr>
              <w:t>Wpływ operacji na zachowanie dziedzictwa kulturowego obszaru LGD</w:t>
            </w:r>
          </w:p>
          <w:p w:rsidR="009C1ED2" w:rsidRPr="00785D7D" w:rsidRDefault="009C1ED2" w:rsidP="00E82083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683" w:type="dxa"/>
          </w:tcPr>
          <w:p w:rsidR="009C1ED2" w:rsidRPr="00785D7D" w:rsidRDefault="009C1ED2" w:rsidP="00E82083">
            <w:pPr>
              <w:rPr>
                <w:rFonts w:eastAsia="Calibri"/>
              </w:rPr>
            </w:pPr>
            <w:r w:rsidRPr="00785D7D">
              <w:rPr>
                <w:rFonts w:eastAsia="Calibri"/>
              </w:rPr>
              <w:t>Operacja dotyczy obiektu wpisanego do rejestru zabytków prowadzonych przez Podkarpackiego Wojewódzkiego Konserwatora Zabytków lub do gminnej ewidencji zabytków:</w:t>
            </w:r>
          </w:p>
          <w:p w:rsidR="009C1ED2" w:rsidRPr="00785D7D" w:rsidRDefault="009C1ED2" w:rsidP="009C1ED2">
            <w:pPr>
              <w:numPr>
                <w:ilvl w:val="0"/>
                <w:numId w:val="13"/>
              </w:numPr>
              <w:rPr>
                <w:rFonts w:eastAsia="Calibri"/>
              </w:rPr>
            </w:pPr>
            <w:r w:rsidRPr="00785D7D">
              <w:rPr>
                <w:rFonts w:eastAsia="Calibri"/>
              </w:rPr>
              <w:t xml:space="preserve">wpis do rejestru zabytków prowadzonych przez Wojewódzkiego Konserwatora Zabytków – </w:t>
            </w:r>
            <w:r w:rsidRPr="00785D7D">
              <w:rPr>
                <w:rFonts w:eastAsia="Calibri"/>
                <w:b/>
              </w:rPr>
              <w:t>2</w:t>
            </w:r>
            <w:r w:rsidRPr="00785D7D">
              <w:rPr>
                <w:rFonts w:eastAsia="Calibri"/>
              </w:rPr>
              <w:t xml:space="preserve"> pkt.</w:t>
            </w:r>
          </w:p>
          <w:p w:rsidR="009C1ED2" w:rsidRPr="00785D7D" w:rsidRDefault="009C1ED2" w:rsidP="009C1ED2">
            <w:pPr>
              <w:numPr>
                <w:ilvl w:val="0"/>
                <w:numId w:val="13"/>
              </w:numPr>
              <w:rPr>
                <w:rFonts w:eastAsia="Calibri"/>
              </w:rPr>
            </w:pPr>
            <w:r w:rsidRPr="00785D7D">
              <w:rPr>
                <w:rFonts w:eastAsia="Calibri"/>
              </w:rPr>
              <w:t xml:space="preserve">wpis do gminnej ewidencji zabytków – </w:t>
            </w:r>
            <w:r w:rsidRPr="00785D7D">
              <w:rPr>
                <w:rFonts w:eastAsia="Calibri"/>
                <w:b/>
              </w:rPr>
              <w:t>1</w:t>
            </w:r>
            <w:r w:rsidRPr="00785D7D">
              <w:rPr>
                <w:rFonts w:eastAsia="Calibri"/>
              </w:rPr>
              <w:t xml:space="preserve"> pkt.</w:t>
            </w:r>
          </w:p>
          <w:p w:rsidR="009C1ED2" w:rsidRPr="00785D7D" w:rsidRDefault="009C1ED2" w:rsidP="009C1ED2">
            <w:pPr>
              <w:numPr>
                <w:ilvl w:val="0"/>
                <w:numId w:val="13"/>
              </w:numPr>
              <w:rPr>
                <w:rFonts w:eastAsia="Calibri"/>
                <w:color w:val="000000"/>
              </w:rPr>
            </w:pPr>
            <w:r w:rsidRPr="00785D7D">
              <w:rPr>
                <w:rFonts w:eastAsia="Calibri"/>
              </w:rPr>
              <w:t xml:space="preserve">obiekt nie wpisany do żadnego z powyższych rejestrów czy ewidencji – </w:t>
            </w:r>
            <w:r w:rsidRPr="00785D7D">
              <w:rPr>
                <w:rFonts w:eastAsia="Calibri"/>
                <w:b/>
              </w:rPr>
              <w:t>0</w:t>
            </w:r>
            <w:r w:rsidRPr="00785D7D">
              <w:rPr>
                <w:rFonts w:eastAsia="Calibri"/>
              </w:rPr>
              <w:t xml:space="preserve"> pkt.</w:t>
            </w:r>
          </w:p>
        </w:tc>
        <w:tc>
          <w:tcPr>
            <w:tcW w:w="1460" w:type="dxa"/>
          </w:tcPr>
          <w:p w:rsidR="009C1ED2" w:rsidRPr="00785D7D" w:rsidRDefault="009C1ED2" w:rsidP="00E82083">
            <w:pPr>
              <w:rPr>
                <w:rFonts w:eastAsia="Calibri"/>
              </w:rPr>
            </w:pPr>
          </w:p>
        </w:tc>
      </w:tr>
      <w:tr w:rsidR="009C1ED2" w:rsidRPr="00785D7D" w:rsidTr="001E11C4">
        <w:trPr>
          <w:cantSplit/>
          <w:trHeight w:val="1349"/>
          <w:tblCellSpacing w:w="20" w:type="dxa"/>
        </w:trPr>
        <w:tc>
          <w:tcPr>
            <w:tcW w:w="1074" w:type="dxa"/>
            <w:vAlign w:val="center"/>
          </w:tcPr>
          <w:p w:rsidR="009C1ED2" w:rsidRPr="00785D7D" w:rsidRDefault="009C1ED2" w:rsidP="00E82083">
            <w:pPr>
              <w:ind w:left="360"/>
              <w:rPr>
                <w:rFonts w:eastAsia="Calibri"/>
              </w:rPr>
            </w:pPr>
            <w:r w:rsidRPr="00785D7D">
              <w:rPr>
                <w:rFonts w:eastAsia="Calibri"/>
              </w:rPr>
              <w:t>10.</w:t>
            </w:r>
          </w:p>
        </w:tc>
        <w:tc>
          <w:tcPr>
            <w:tcW w:w="2222" w:type="dxa"/>
            <w:shd w:val="clear" w:color="auto" w:fill="F2F2F2"/>
            <w:vAlign w:val="center"/>
          </w:tcPr>
          <w:p w:rsidR="009C1ED2" w:rsidRPr="00785D7D" w:rsidRDefault="009C1ED2" w:rsidP="00E82083">
            <w:pPr>
              <w:jc w:val="center"/>
              <w:rPr>
                <w:rFonts w:eastAsia="Calibri"/>
                <w:b/>
              </w:rPr>
            </w:pPr>
            <w:r w:rsidRPr="00785D7D">
              <w:rPr>
                <w:rFonts w:eastAsia="Calibri"/>
                <w:b/>
              </w:rPr>
              <w:t>Obszar oddziaływania operacji</w:t>
            </w:r>
          </w:p>
        </w:tc>
        <w:tc>
          <w:tcPr>
            <w:tcW w:w="4683" w:type="dxa"/>
            <w:vAlign w:val="center"/>
          </w:tcPr>
          <w:p w:rsidR="009C1ED2" w:rsidRPr="00785D7D" w:rsidRDefault="009C1ED2" w:rsidP="00E82083">
            <w:pPr>
              <w:rPr>
                <w:rFonts w:eastAsia="Calibri"/>
              </w:rPr>
            </w:pPr>
            <w:r w:rsidRPr="00785D7D">
              <w:rPr>
                <w:rFonts w:eastAsia="Calibri"/>
              </w:rPr>
              <w:t>Obszar oddziaływania operacji:</w:t>
            </w:r>
          </w:p>
          <w:p w:rsidR="009C1ED2" w:rsidRPr="00785D7D" w:rsidRDefault="009C1ED2" w:rsidP="009C1ED2">
            <w:pPr>
              <w:numPr>
                <w:ilvl w:val="0"/>
                <w:numId w:val="13"/>
              </w:numPr>
              <w:rPr>
                <w:rFonts w:eastAsia="Calibri"/>
              </w:rPr>
            </w:pPr>
            <w:r w:rsidRPr="00785D7D">
              <w:rPr>
                <w:rFonts w:eastAsia="Calibri"/>
              </w:rPr>
              <w:t xml:space="preserve">cały obszar działania LGD – </w:t>
            </w:r>
            <w:r w:rsidRPr="00785D7D">
              <w:rPr>
                <w:rFonts w:eastAsia="Calibri"/>
                <w:b/>
              </w:rPr>
              <w:t>4</w:t>
            </w:r>
            <w:r w:rsidRPr="00785D7D">
              <w:rPr>
                <w:rFonts w:eastAsia="Calibri"/>
              </w:rPr>
              <w:t xml:space="preserve"> pkt.</w:t>
            </w:r>
          </w:p>
          <w:p w:rsidR="009C1ED2" w:rsidRPr="00785D7D" w:rsidRDefault="009C1ED2" w:rsidP="009C1ED2">
            <w:pPr>
              <w:numPr>
                <w:ilvl w:val="0"/>
                <w:numId w:val="13"/>
              </w:numPr>
              <w:rPr>
                <w:rFonts w:eastAsia="Calibri"/>
              </w:rPr>
            </w:pPr>
            <w:r w:rsidRPr="00785D7D">
              <w:rPr>
                <w:rFonts w:eastAsia="Calibri"/>
              </w:rPr>
              <w:t xml:space="preserve">dwie miejscowości – </w:t>
            </w:r>
            <w:r w:rsidRPr="00785D7D">
              <w:rPr>
                <w:rFonts w:eastAsia="Calibri"/>
                <w:b/>
              </w:rPr>
              <w:t>3</w:t>
            </w:r>
            <w:r w:rsidRPr="00785D7D">
              <w:rPr>
                <w:rFonts w:eastAsia="Calibri"/>
              </w:rPr>
              <w:t xml:space="preserve"> pkt.</w:t>
            </w:r>
          </w:p>
          <w:p w:rsidR="009C1ED2" w:rsidRPr="00785D7D" w:rsidRDefault="009C1ED2" w:rsidP="009C1ED2">
            <w:pPr>
              <w:numPr>
                <w:ilvl w:val="0"/>
                <w:numId w:val="13"/>
              </w:numPr>
              <w:rPr>
                <w:rFonts w:eastAsia="Calibri"/>
              </w:rPr>
            </w:pPr>
            <w:r w:rsidRPr="00785D7D">
              <w:rPr>
                <w:rFonts w:eastAsia="Calibri"/>
              </w:rPr>
              <w:t xml:space="preserve">więcej niż jedna gmina – </w:t>
            </w:r>
            <w:r w:rsidRPr="00785D7D">
              <w:rPr>
                <w:rFonts w:eastAsia="Calibri"/>
                <w:b/>
              </w:rPr>
              <w:t>2</w:t>
            </w:r>
            <w:r w:rsidRPr="00785D7D">
              <w:rPr>
                <w:rFonts w:eastAsia="Calibri"/>
              </w:rPr>
              <w:t xml:space="preserve"> pkt.</w:t>
            </w:r>
          </w:p>
          <w:p w:rsidR="009C1ED2" w:rsidRPr="00785D7D" w:rsidRDefault="009C1ED2" w:rsidP="009C1ED2">
            <w:pPr>
              <w:numPr>
                <w:ilvl w:val="0"/>
                <w:numId w:val="13"/>
              </w:numPr>
              <w:rPr>
                <w:rFonts w:eastAsia="Calibri"/>
              </w:rPr>
            </w:pPr>
            <w:r w:rsidRPr="00785D7D">
              <w:rPr>
                <w:rFonts w:eastAsia="Calibri"/>
              </w:rPr>
              <w:t xml:space="preserve">jedna miejscowość  – </w:t>
            </w:r>
            <w:r w:rsidRPr="00785D7D">
              <w:rPr>
                <w:rFonts w:eastAsia="Calibri"/>
                <w:b/>
              </w:rPr>
              <w:t>1</w:t>
            </w:r>
            <w:r w:rsidRPr="00785D7D">
              <w:rPr>
                <w:rFonts w:eastAsia="Calibri"/>
              </w:rPr>
              <w:t xml:space="preserve"> pkt.</w:t>
            </w:r>
          </w:p>
        </w:tc>
        <w:tc>
          <w:tcPr>
            <w:tcW w:w="1460" w:type="dxa"/>
          </w:tcPr>
          <w:p w:rsidR="009C1ED2" w:rsidRPr="00785D7D" w:rsidRDefault="009C1ED2" w:rsidP="00E82083">
            <w:pPr>
              <w:rPr>
                <w:rFonts w:eastAsia="Calibri"/>
              </w:rPr>
            </w:pPr>
          </w:p>
        </w:tc>
      </w:tr>
      <w:tr w:rsidR="009C1ED2" w:rsidRPr="00785D7D" w:rsidTr="001E11C4">
        <w:trPr>
          <w:cantSplit/>
          <w:trHeight w:val="1349"/>
          <w:tblCellSpacing w:w="20" w:type="dxa"/>
        </w:trPr>
        <w:tc>
          <w:tcPr>
            <w:tcW w:w="1074" w:type="dxa"/>
            <w:vAlign w:val="center"/>
          </w:tcPr>
          <w:p w:rsidR="009C1ED2" w:rsidRPr="00785D7D" w:rsidRDefault="009C1ED2" w:rsidP="00E82083">
            <w:pPr>
              <w:ind w:left="360"/>
              <w:rPr>
                <w:rFonts w:eastAsia="Calibri"/>
              </w:rPr>
            </w:pPr>
            <w:r w:rsidRPr="00785D7D">
              <w:rPr>
                <w:rFonts w:eastAsia="Calibri"/>
              </w:rPr>
              <w:t>11.</w:t>
            </w:r>
          </w:p>
        </w:tc>
        <w:tc>
          <w:tcPr>
            <w:tcW w:w="2222" w:type="dxa"/>
            <w:shd w:val="clear" w:color="auto" w:fill="F2F2F2"/>
            <w:vAlign w:val="center"/>
          </w:tcPr>
          <w:p w:rsidR="009C1ED2" w:rsidRPr="00785D7D" w:rsidRDefault="009C1ED2" w:rsidP="00E82083">
            <w:pPr>
              <w:jc w:val="center"/>
              <w:rPr>
                <w:rFonts w:eastAsia="Calibri"/>
                <w:b/>
              </w:rPr>
            </w:pPr>
            <w:r w:rsidRPr="00785D7D">
              <w:rPr>
                <w:rFonts w:eastAsia="Calibri"/>
                <w:b/>
              </w:rPr>
              <w:t>Korzystanie z doradztwa w biurze LGD</w:t>
            </w:r>
          </w:p>
        </w:tc>
        <w:tc>
          <w:tcPr>
            <w:tcW w:w="4683" w:type="dxa"/>
          </w:tcPr>
          <w:p w:rsidR="009C1ED2" w:rsidRPr="00785D7D" w:rsidRDefault="009C1ED2" w:rsidP="00E82083">
            <w:pPr>
              <w:rPr>
                <w:rFonts w:eastAsia="Calibri"/>
              </w:rPr>
            </w:pPr>
            <w:r w:rsidRPr="00785D7D">
              <w:rPr>
                <w:rFonts w:eastAsia="Calibri"/>
              </w:rPr>
              <w:t>Preferuje operacje, które na etapie przygotowania dokumentacji aplikacyjnej były konsultowane w biurze LGD:</w:t>
            </w:r>
          </w:p>
          <w:p w:rsidR="009C1ED2" w:rsidRPr="00785D7D" w:rsidRDefault="009C1ED2" w:rsidP="009C1ED2">
            <w:pPr>
              <w:numPr>
                <w:ilvl w:val="0"/>
                <w:numId w:val="13"/>
              </w:numPr>
              <w:rPr>
                <w:rFonts w:eastAsia="Calibri"/>
                <w:color w:val="000000"/>
              </w:rPr>
            </w:pPr>
            <w:r w:rsidRPr="00785D7D">
              <w:rPr>
                <w:rFonts w:eastAsia="Calibri"/>
                <w:color w:val="000000"/>
              </w:rPr>
              <w:t xml:space="preserve">operacja nie była konsultowana w biurze LGD – </w:t>
            </w:r>
            <w:r w:rsidRPr="00785D7D">
              <w:rPr>
                <w:rFonts w:eastAsia="Calibri"/>
                <w:b/>
                <w:color w:val="000000"/>
              </w:rPr>
              <w:t>0</w:t>
            </w:r>
            <w:r w:rsidRPr="00785D7D">
              <w:rPr>
                <w:rFonts w:eastAsia="Calibri"/>
                <w:color w:val="000000"/>
              </w:rPr>
              <w:t xml:space="preserve"> pkt.</w:t>
            </w:r>
          </w:p>
          <w:p w:rsidR="009C1ED2" w:rsidRPr="00785D7D" w:rsidRDefault="009C1ED2" w:rsidP="009C1ED2">
            <w:pPr>
              <w:numPr>
                <w:ilvl w:val="0"/>
                <w:numId w:val="13"/>
              </w:numPr>
              <w:rPr>
                <w:rFonts w:eastAsia="Calibri"/>
              </w:rPr>
            </w:pPr>
            <w:r w:rsidRPr="00785D7D">
              <w:rPr>
                <w:rFonts w:eastAsia="Calibri"/>
                <w:color w:val="000000"/>
              </w:rPr>
              <w:t xml:space="preserve">operacja była konsultowana w biurze LGD – </w:t>
            </w:r>
            <w:r w:rsidRPr="00785D7D">
              <w:rPr>
                <w:rFonts w:eastAsia="Calibri"/>
                <w:b/>
                <w:color w:val="000000"/>
              </w:rPr>
              <w:t>1</w:t>
            </w:r>
            <w:r w:rsidRPr="00785D7D">
              <w:rPr>
                <w:rFonts w:eastAsia="Calibri"/>
                <w:color w:val="000000"/>
              </w:rPr>
              <w:t xml:space="preserve"> pkt.</w:t>
            </w:r>
          </w:p>
        </w:tc>
        <w:tc>
          <w:tcPr>
            <w:tcW w:w="1460" w:type="dxa"/>
          </w:tcPr>
          <w:p w:rsidR="009C1ED2" w:rsidRPr="00785D7D" w:rsidRDefault="009C1ED2" w:rsidP="00E82083">
            <w:pPr>
              <w:rPr>
                <w:rFonts w:eastAsia="Calibri"/>
              </w:rPr>
            </w:pPr>
          </w:p>
        </w:tc>
      </w:tr>
      <w:tr w:rsidR="009C1ED2" w:rsidRPr="00785D7D" w:rsidTr="001E11C4">
        <w:trPr>
          <w:cantSplit/>
          <w:trHeight w:val="1349"/>
          <w:tblCellSpacing w:w="20" w:type="dxa"/>
        </w:trPr>
        <w:tc>
          <w:tcPr>
            <w:tcW w:w="1074" w:type="dxa"/>
            <w:vAlign w:val="center"/>
          </w:tcPr>
          <w:p w:rsidR="009C1ED2" w:rsidRPr="00785D7D" w:rsidRDefault="009C1ED2" w:rsidP="00E82083">
            <w:pPr>
              <w:ind w:left="360"/>
              <w:rPr>
                <w:rFonts w:eastAsia="Calibri"/>
              </w:rPr>
            </w:pPr>
            <w:r w:rsidRPr="00785D7D">
              <w:rPr>
                <w:rFonts w:eastAsia="Calibri"/>
              </w:rPr>
              <w:t>12.</w:t>
            </w:r>
          </w:p>
        </w:tc>
        <w:tc>
          <w:tcPr>
            <w:tcW w:w="2222" w:type="dxa"/>
            <w:shd w:val="clear" w:color="auto" w:fill="F2F2F2"/>
            <w:vAlign w:val="center"/>
          </w:tcPr>
          <w:p w:rsidR="009C1ED2" w:rsidRPr="00785D7D" w:rsidRDefault="009C1ED2" w:rsidP="00E82083">
            <w:pPr>
              <w:jc w:val="center"/>
              <w:rPr>
                <w:rFonts w:eastAsia="Calibri"/>
                <w:b/>
              </w:rPr>
            </w:pPr>
            <w:r w:rsidRPr="00785D7D">
              <w:rPr>
                <w:rFonts w:eastAsia="Calibri"/>
                <w:b/>
              </w:rPr>
              <w:t>Siedziba Wnioskodawcy</w:t>
            </w:r>
          </w:p>
        </w:tc>
        <w:tc>
          <w:tcPr>
            <w:tcW w:w="4683" w:type="dxa"/>
          </w:tcPr>
          <w:p w:rsidR="009C1ED2" w:rsidRPr="00785D7D" w:rsidRDefault="009C1ED2" w:rsidP="00E82083">
            <w:pPr>
              <w:rPr>
                <w:rFonts w:eastAsia="Calibri"/>
                <w:color w:val="000000"/>
              </w:rPr>
            </w:pPr>
            <w:r w:rsidRPr="00785D7D">
              <w:rPr>
                <w:rFonts w:eastAsia="Calibri"/>
                <w:color w:val="000000"/>
              </w:rPr>
              <w:t>Preferuje Wnioskodawców posiadających siedzibę działalności na obszarze LSR:</w:t>
            </w:r>
          </w:p>
          <w:p w:rsidR="009C1ED2" w:rsidRPr="00785D7D" w:rsidRDefault="009C1ED2" w:rsidP="009C1ED2">
            <w:pPr>
              <w:numPr>
                <w:ilvl w:val="0"/>
                <w:numId w:val="13"/>
              </w:numPr>
              <w:rPr>
                <w:rFonts w:eastAsia="Calibri"/>
                <w:color w:val="000000"/>
              </w:rPr>
            </w:pPr>
            <w:r w:rsidRPr="00785D7D">
              <w:rPr>
                <w:rFonts w:eastAsia="Calibri"/>
                <w:color w:val="000000"/>
              </w:rPr>
              <w:t>siedziba działalności Wnioskodawcy nie znajduje się na obszarze LSR –</w:t>
            </w:r>
            <w:r w:rsidRPr="00785D7D">
              <w:rPr>
                <w:rFonts w:eastAsia="Calibri"/>
                <w:b/>
                <w:color w:val="000000"/>
              </w:rPr>
              <w:t xml:space="preserve"> 0</w:t>
            </w:r>
            <w:r w:rsidRPr="00785D7D">
              <w:rPr>
                <w:rFonts w:eastAsia="Calibri"/>
                <w:color w:val="000000"/>
              </w:rPr>
              <w:t xml:space="preserve"> pkt.</w:t>
            </w:r>
          </w:p>
          <w:p w:rsidR="009C1ED2" w:rsidRPr="00785D7D" w:rsidRDefault="009C1ED2" w:rsidP="009C1ED2">
            <w:pPr>
              <w:numPr>
                <w:ilvl w:val="0"/>
                <w:numId w:val="13"/>
              </w:numPr>
              <w:rPr>
                <w:rFonts w:eastAsia="Calibri"/>
                <w:color w:val="000000"/>
              </w:rPr>
            </w:pPr>
            <w:r w:rsidRPr="00785D7D">
              <w:rPr>
                <w:rFonts w:eastAsia="Calibri"/>
                <w:color w:val="000000"/>
              </w:rPr>
              <w:t xml:space="preserve">siedziba działalności Wnioskodawcy znajduje się na obszarze LSR – </w:t>
            </w:r>
            <w:r w:rsidRPr="00785D7D">
              <w:rPr>
                <w:rFonts w:eastAsia="Calibri"/>
                <w:b/>
                <w:color w:val="000000"/>
              </w:rPr>
              <w:t>3</w:t>
            </w:r>
            <w:r w:rsidRPr="00785D7D">
              <w:rPr>
                <w:rFonts w:eastAsia="Calibri"/>
                <w:color w:val="000000"/>
              </w:rPr>
              <w:t xml:space="preserve"> pkt.</w:t>
            </w:r>
          </w:p>
        </w:tc>
        <w:tc>
          <w:tcPr>
            <w:tcW w:w="1460" w:type="dxa"/>
          </w:tcPr>
          <w:p w:rsidR="009C1ED2" w:rsidRPr="00785D7D" w:rsidRDefault="009C1ED2" w:rsidP="00E82083">
            <w:pPr>
              <w:rPr>
                <w:rFonts w:eastAsia="Calibri"/>
              </w:rPr>
            </w:pPr>
          </w:p>
        </w:tc>
      </w:tr>
      <w:tr w:rsidR="009C1ED2" w:rsidRPr="00785D7D" w:rsidTr="001E11C4">
        <w:trPr>
          <w:cantSplit/>
          <w:trHeight w:val="317"/>
          <w:tblCellSpacing w:w="20" w:type="dxa"/>
        </w:trPr>
        <w:tc>
          <w:tcPr>
            <w:tcW w:w="8059" w:type="dxa"/>
            <w:gridSpan w:val="3"/>
            <w:shd w:val="clear" w:color="auto" w:fill="F2F2F2"/>
          </w:tcPr>
          <w:p w:rsidR="009C1ED2" w:rsidRPr="00785D7D" w:rsidRDefault="009C1ED2" w:rsidP="00E82083">
            <w:pPr>
              <w:jc w:val="right"/>
              <w:rPr>
                <w:rFonts w:eastAsia="Calibri"/>
              </w:rPr>
            </w:pPr>
            <w:r w:rsidRPr="00785D7D">
              <w:rPr>
                <w:rFonts w:eastAsia="Calibri"/>
                <w:b/>
                <w:bCs/>
              </w:rPr>
              <w:t>SUMA PUNKTÓW</w:t>
            </w:r>
          </w:p>
        </w:tc>
        <w:tc>
          <w:tcPr>
            <w:tcW w:w="1460" w:type="dxa"/>
          </w:tcPr>
          <w:p w:rsidR="009C1ED2" w:rsidRPr="00785D7D" w:rsidRDefault="009C1ED2" w:rsidP="00E82083">
            <w:pPr>
              <w:rPr>
                <w:rFonts w:eastAsia="Calibri"/>
              </w:rPr>
            </w:pPr>
          </w:p>
        </w:tc>
      </w:tr>
      <w:tr w:rsidR="009C1ED2" w:rsidRPr="00785D7D" w:rsidTr="001E11C4">
        <w:trPr>
          <w:cantSplit/>
          <w:trHeight w:val="1610"/>
          <w:tblCellSpacing w:w="20" w:type="dxa"/>
        </w:trPr>
        <w:tc>
          <w:tcPr>
            <w:tcW w:w="9559" w:type="dxa"/>
            <w:gridSpan w:val="4"/>
          </w:tcPr>
          <w:p w:rsidR="009C1ED2" w:rsidRPr="00785D7D" w:rsidRDefault="009C1ED2" w:rsidP="00E82083">
            <w:pPr>
              <w:rPr>
                <w:rFonts w:eastAsia="Calibri"/>
                <w:color w:val="000000"/>
              </w:rPr>
            </w:pPr>
            <w:r w:rsidRPr="00785D7D">
              <w:rPr>
                <w:rFonts w:eastAsia="Calibri"/>
                <w:color w:val="000000"/>
              </w:rPr>
              <w:lastRenderedPageBreak/>
              <w:t xml:space="preserve">Maksymalna liczba punktów – </w:t>
            </w:r>
            <w:r w:rsidRPr="00785D7D">
              <w:rPr>
                <w:rFonts w:eastAsia="Calibri"/>
                <w:b/>
                <w:color w:val="000000"/>
              </w:rPr>
              <w:t>25</w:t>
            </w:r>
            <w:r w:rsidR="009B6389">
              <w:rPr>
                <w:rFonts w:eastAsia="Calibri"/>
                <w:b/>
                <w:color w:val="000000"/>
              </w:rPr>
              <w:t xml:space="preserve"> pkt</w:t>
            </w:r>
          </w:p>
          <w:p w:rsidR="009C1ED2" w:rsidRPr="00785D7D" w:rsidRDefault="009C1ED2" w:rsidP="00E82083">
            <w:pPr>
              <w:rPr>
                <w:rFonts w:eastAsia="Calibri"/>
                <w:color w:val="000000"/>
              </w:rPr>
            </w:pPr>
            <w:r w:rsidRPr="00785D7D">
              <w:rPr>
                <w:rFonts w:eastAsia="Calibri"/>
                <w:color w:val="000000"/>
              </w:rPr>
              <w:t>Minimalna liczba punktów (30% z max liczby punktów) –</w:t>
            </w:r>
            <w:r w:rsidRPr="00785D7D">
              <w:rPr>
                <w:rFonts w:eastAsia="Calibri"/>
                <w:b/>
                <w:color w:val="000000"/>
              </w:rPr>
              <w:t xml:space="preserve">  7,5</w:t>
            </w:r>
            <w:r w:rsidR="009B6389">
              <w:rPr>
                <w:rFonts w:eastAsia="Calibri"/>
                <w:b/>
                <w:color w:val="000000"/>
              </w:rPr>
              <w:t xml:space="preserve"> pkt</w:t>
            </w:r>
          </w:p>
          <w:p w:rsidR="0054514D" w:rsidRDefault="009C1ED2" w:rsidP="00E82083">
            <w:pPr>
              <w:rPr>
                <w:rFonts w:eastAsia="Calibri"/>
                <w:color w:val="000000"/>
              </w:rPr>
            </w:pPr>
            <w:r w:rsidRPr="00785D7D">
              <w:rPr>
                <w:rFonts w:eastAsia="Calibri"/>
                <w:color w:val="000000"/>
              </w:rPr>
              <w:t>Kryteria nr 2, 4, 5 i 10  uzasadniają realizację operacji w ramach LSR.</w:t>
            </w:r>
          </w:p>
          <w:p w:rsidR="0054514D" w:rsidRDefault="0054514D" w:rsidP="0054514D">
            <w:pPr>
              <w:rPr>
                <w:rFonts w:eastAsia="Calibri"/>
              </w:rPr>
            </w:pPr>
          </w:p>
          <w:p w:rsidR="009C1ED2" w:rsidRPr="0054514D" w:rsidRDefault="009C1ED2" w:rsidP="0054514D">
            <w:pPr>
              <w:rPr>
                <w:rFonts w:eastAsia="Calibri"/>
              </w:rPr>
            </w:pPr>
          </w:p>
        </w:tc>
      </w:tr>
    </w:tbl>
    <w:p w:rsidR="009C1ED2" w:rsidRDefault="009C1ED2" w:rsidP="009C1ED2">
      <w:pPr>
        <w:rPr>
          <w:b/>
          <w:sz w:val="28"/>
          <w:szCs w:val="28"/>
        </w:rPr>
      </w:pPr>
    </w:p>
    <w:sectPr w:rsidR="009C1ED2" w:rsidSect="00892D35">
      <w:pgSz w:w="11906" w:h="16838"/>
      <w:pgMar w:top="127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554" w:rsidRDefault="00F57554" w:rsidP="00BA1C11">
      <w:r>
        <w:separator/>
      </w:r>
    </w:p>
  </w:endnote>
  <w:endnote w:type="continuationSeparator" w:id="1">
    <w:p w:rsidR="00F57554" w:rsidRDefault="00F57554" w:rsidP="00BA1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554" w:rsidRDefault="00F57554" w:rsidP="00BA1C11">
      <w:r>
        <w:separator/>
      </w:r>
    </w:p>
  </w:footnote>
  <w:footnote w:type="continuationSeparator" w:id="1">
    <w:p w:rsidR="00F57554" w:rsidRDefault="00F57554" w:rsidP="00BA1C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1F1E"/>
    <w:multiLevelType w:val="hybridMultilevel"/>
    <w:tmpl w:val="FE4EA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96DFD"/>
    <w:multiLevelType w:val="hybridMultilevel"/>
    <w:tmpl w:val="BCF0C7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43095D"/>
    <w:multiLevelType w:val="hybridMultilevel"/>
    <w:tmpl w:val="E112F0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6B187A"/>
    <w:multiLevelType w:val="hybridMultilevel"/>
    <w:tmpl w:val="A1DC1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19CB"/>
    <w:multiLevelType w:val="hybridMultilevel"/>
    <w:tmpl w:val="557605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2B09AB"/>
    <w:multiLevelType w:val="hybridMultilevel"/>
    <w:tmpl w:val="3C0019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9E620A"/>
    <w:multiLevelType w:val="hybridMultilevel"/>
    <w:tmpl w:val="BACE2B8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D6732A"/>
    <w:multiLevelType w:val="hybridMultilevel"/>
    <w:tmpl w:val="FF6C69F4"/>
    <w:lvl w:ilvl="0" w:tplc="267E14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E97498"/>
    <w:multiLevelType w:val="hybridMultilevel"/>
    <w:tmpl w:val="C53AF75C"/>
    <w:lvl w:ilvl="0" w:tplc="2E8E5DC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A066C7"/>
    <w:multiLevelType w:val="hybridMultilevel"/>
    <w:tmpl w:val="4B16E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475FD"/>
    <w:multiLevelType w:val="hybridMultilevel"/>
    <w:tmpl w:val="55760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735C95"/>
    <w:multiLevelType w:val="hybridMultilevel"/>
    <w:tmpl w:val="5FDC0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9D31E7"/>
    <w:multiLevelType w:val="hybridMultilevel"/>
    <w:tmpl w:val="51C42494"/>
    <w:lvl w:ilvl="0" w:tplc="A4C6B25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91B5B3A"/>
    <w:multiLevelType w:val="hybridMultilevel"/>
    <w:tmpl w:val="02C48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132DE3"/>
    <w:multiLevelType w:val="hybridMultilevel"/>
    <w:tmpl w:val="B5A62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2"/>
  </w:num>
  <w:num w:numId="5">
    <w:abstractNumId w:val="13"/>
  </w:num>
  <w:num w:numId="6">
    <w:abstractNumId w:val="1"/>
  </w:num>
  <w:num w:numId="7">
    <w:abstractNumId w:val="9"/>
  </w:num>
  <w:num w:numId="8">
    <w:abstractNumId w:val="14"/>
  </w:num>
  <w:num w:numId="9">
    <w:abstractNumId w:val="11"/>
  </w:num>
  <w:num w:numId="10">
    <w:abstractNumId w:val="4"/>
  </w:num>
  <w:num w:numId="11">
    <w:abstractNumId w:val="12"/>
  </w:num>
  <w:num w:numId="12">
    <w:abstractNumId w:val="6"/>
  </w:num>
  <w:num w:numId="13">
    <w:abstractNumId w:val="8"/>
  </w:num>
  <w:num w:numId="14">
    <w:abstractNumId w:val="7"/>
  </w:num>
  <w:num w:numId="15">
    <w:abstractNumId w:val="3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A7865"/>
    <w:rsid w:val="00036611"/>
    <w:rsid w:val="00037F9B"/>
    <w:rsid w:val="000473BC"/>
    <w:rsid w:val="00053811"/>
    <w:rsid w:val="00066805"/>
    <w:rsid w:val="000760E0"/>
    <w:rsid w:val="00087D3F"/>
    <w:rsid w:val="00095923"/>
    <w:rsid w:val="000B12BE"/>
    <w:rsid w:val="000B4C24"/>
    <w:rsid w:val="000B6C8A"/>
    <w:rsid w:val="000C18FD"/>
    <w:rsid w:val="000C482A"/>
    <w:rsid w:val="000E3165"/>
    <w:rsid w:val="00125907"/>
    <w:rsid w:val="00125E5D"/>
    <w:rsid w:val="00126B07"/>
    <w:rsid w:val="0016389B"/>
    <w:rsid w:val="00173C64"/>
    <w:rsid w:val="00191AA5"/>
    <w:rsid w:val="001A3330"/>
    <w:rsid w:val="001B0001"/>
    <w:rsid w:val="001B3CDF"/>
    <w:rsid w:val="001B4584"/>
    <w:rsid w:val="001B4E7B"/>
    <w:rsid w:val="001C061F"/>
    <w:rsid w:val="001C24BE"/>
    <w:rsid w:val="001E0B51"/>
    <w:rsid w:val="001E11C4"/>
    <w:rsid w:val="001F5591"/>
    <w:rsid w:val="001F7BD2"/>
    <w:rsid w:val="00204955"/>
    <w:rsid w:val="00210AC8"/>
    <w:rsid w:val="00214868"/>
    <w:rsid w:val="00220A0E"/>
    <w:rsid w:val="00232465"/>
    <w:rsid w:val="00232906"/>
    <w:rsid w:val="0024029A"/>
    <w:rsid w:val="002408FB"/>
    <w:rsid w:val="002704BB"/>
    <w:rsid w:val="00283DC8"/>
    <w:rsid w:val="00286B8E"/>
    <w:rsid w:val="002B6136"/>
    <w:rsid w:val="002C7B65"/>
    <w:rsid w:val="002D5ADC"/>
    <w:rsid w:val="002E3DB9"/>
    <w:rsid w:val="002F7D52"/>
    <w:rsid w:val="00335A6E"/>
    <w:rsid w:val="003B3F9E"/>
    <w:rsid w:val="003E031C"/>
    <w:rsid w:val="003F05FF"/>
    <w:rsid w:val="00406EE2"/>
    <w:rsid w:val="00420B93"/>
    <w:rsid w:val="00427DDB"/>
    <w:rsid w:val="00445214"/>
    <w:rsid w:val="004A2565"/>
    <w:rsid w:val="004A5420"/>
    <w:rsid w:val="004B274B"/>
    <w:rsid w:val="004C1C92"/>
    <w:rsid w:val="004C65C5"/>
    <w:rsid w:val="004D3F10"/>
    <w:rsid w:val="004D6124"/>
    <w:rsid w:val="004F2E3D"/>
    <w:rsid w:val="005012CB"/>
    <w:rsid w:val="0052323A"/>
    <w:rsid w:val="00524BE7"/>
    <w:rsid w:val="005358C1"/>
    <w:rsid w:val="0054459C"/>
    <w:rsid w:val="0054514D"/>
    <w:rsid w:val="00556A98"/>
    <w:rsid w:val="00566258"/>
    <w:rsid w:val="0058011D"/>
    <w:rsid w:val="00583ED0"/>
    <w:rsid w:val="005A513B"/>
    <w:rsid w:val="005B6C86"/>
    <w:rsid w:val="005C0935"/>
    <w:rsid w:val="005C5518"/>
    <w:rsid w:val="005F32C9"/>
    <w:rsid w:val="005F6768"/>
    <w:rsid w:val="005F6E59"/>
    <w:rsid w:val="00627C24"/>
    <w:rsid w:val="00632258"/>
    <w:rsid w:val="00640BBE"/>
    <w:rsid w:val="006632FE"/>
    <w:rsid w:val="00663A09"/>
    <w:rsid w:val="00676067"/>
    <w:rsid w:val="006A219A"/>
    <w:rsid w:val="006B70FE"/>
    <w:rsid w:val="006C09FE"/>
    <w:rsid w:val="006C54A1"/>
    <w:rsid w:val="006D0DCB"/>
    <w:rsid w:val="006D3BB4"/>
    <w:rsid w:val="006F5304"/>
    <w:rsid w:val="007055E7"/>
    <w:rsid w:val="007103C1"/>
    <w:rsid w:val="00710E3E"/>
    <w:rsid w:val="00712A0D"/>
    <w:rsid w:val="00726F69"/>
    <w:rsid w:val="007304AC"/>
    <w:rsid w:val="00750D41"/>
    <w:rsid w:val="00751770"/>
    <w:rsid w:val="0075794B"/>
    <w:rsid w:val="00771CF3"/>
    <w:rsid w:val="007913DA"/>
    <w:rsid w:val="007B66FA"/>
    <w:rsid w:val="007C5A89"/>
    <w:rsid w:val="007C711C"/>
    <w:rsid w:val="007D65CA"/>
    <w:rsid w:val="007F3041"/>
    <w:rsid w:val="00817791"/>
    <w:rsid w:val="00825767"/>
    <w:rsid w:val="00826FF3"/>
    <w:rsid w:val="0082761B"/>
    <w:rsid w:val="00844F3A"/>
    <w:rsid w:val="00860FE7"/>
    <w:rsid w:val="00872034"/>
    <w:rsid w:val="008759E9"/>
    <w:rsid w:val="00883157"/>
    <w:rsid w:val="00892D35"/>
    <w:rsid w:val="008958D6"/>
    <w:rsid w:val="008A7865"/>
    <w:rsid w:val="008E0FCD"/>
    <w:rsid w:val="008E5F9E"/>
    <w:rsid w:val="008E7DEF"/>
    <w:rsid w:val="0090473F"/>
    <w:rsid w:val="00947C76"/>
    <w:rsid w:val="009939C0"/>
    <w:rsid w:val="00994D75"/>
    <w:rsid w:val="0099601C"/>
    <w:rsid w:val="009A7CA0"/>
    <w:rsid w:val="009B535D"/>
    <w:rsid w:val="009B6389"/>
    <w:rsid w:val="009C14B3"/>
    <w:rsid w:val="009C1ED2"/>
    <w:rsid w:val="009C6179"/>
    <w:rsid w:val="009E336D"/>
    <w:rsid w:val="009F1F53"/>
    <w:rsid w:val="00A165F6"/>
    <w:rsid w:val="00A178B5"/>
    <w:rsid w:val="00A2233B"/>
    <w:rsid w:val="00A30178"/>
    <w:rsid w:val="00A32813"/>
    <w:rsid w:val="00A50BE9"/>
    <w:rsid w:val="00A64AA7"/>
    <w:rsid w:val="00A85DC5"/>
    <w:rsid w:val="00AA476C"/>
    <w:rsid w:val="00AA47C8"/>
    <w:rsid w:val="00AD0DDF"/>
    <w:rsid w:val="00AE3A36"/>
    <w:rsid w:val="00AF71D2"/>
    <w:rsid w:val="00B03E80"/>
    <w:rsid w:val="00B07710"/>
    <w:rsid w:val="00B154D5"/>
    <w:rsid w:val="00B2649E"/>
    <w:rsid w:val="00B44031"/>
    <w:rsid w:val="00B742D1"/>
    <w:rsid w:val="00B85A4E"/>
    <w:rsid w:val="00B95B5F"/>
    <w:rsid w:val="00BA1C11"/>
    <w:rsid w:val="00BA4603"/>
    <w:rsid w:val="00BB29BA"/>
    <w:rsid w:val="00BB4A05"/>
    <w:rsid w:val="00BB6B99"/>
    <w:rsid w:val="00BC1DA5"/>
    <w:rsid w:val="00C10051"/>
    <w:rsid w:val="00C30B43"/>
    <w:rsid w:val="00C6359B"/>
    <w:rsid w:val="00C657A9"/>
    <w:rsid w:val="00CA0AD5"/>
    <w:rsid w:val="00CA42A2"/>
    <w:rsid w:val="00CA4FF4"/>
    <w:rsid w:val="00CA5AB6"/>
    <w:rsid w:val="00CA7AA3"/>
    <w:rsid w:val="00CD5C97"/>
    <w:rsid w:val="00CD739F"/>
    <w:rsid w:val="00CE2D7D"/>
    <w:rsid w:val="00D04D86"/>
    <w:rsid w:val="00D05244"/>
    <w:rsid w:val="00D0588C"/>
    <w:rsid w:val="00D105A5"/>
    <w:rsid w:val="00D135FF"/>
    <w:rsid w:val="00D42824"/>
    <w:rsid w:val="00D66609"/>
    <w:rsid w:val="00D73DE7"/>
    <w:rsid w:val="00D82038"/>
    <w:rsid w:val="00D92A59"/>
    <w:rsid w:val="00D93EC1"/>
    <w:rsid w:val="00DA533F"/>
    <w:rsid w:val="00DB6ADB"/>
    <w:rsid w:val="00DC27F1"/>
    <w:rsid w:val="00DC7664"/>
    <w:rsid w:val="00DD0106"/>
    <w:rsid w:val="00DE0B1F"/>
    <w:rsid w:val="00E1064B"/>
    <w:rsid w:val="00E20707"/>
    <w:rsid w:val="00E20988"/>
    <w:rsid w:val="00E32B3E"/>
    <w:rsid w:val="00E42C33"/>
    <w:rsid w:val="00E700F9"/>
    <w:rsid w:val="00E7197E"/>
    <w:rsid w:val="00E87201"/>
    <w:rsid w:val="00EA2E80"/>
    <w:rsid w:val="00EC0FE5"/>
    <w:rsid w:val="00EE72BA"/>
    <w:rsid w:val="00F071CB"/>
    <w:rsid w:val="00F1209C"/>
    <w:rsid w:val="00F179D6"/>
    <w:rsid w:val="00F326EC"/>
    <w:rsid w:val="00F57554"/>
    <w:rsid w:val="00F75492"/>
    <w:rsid w:val="00F82BC4"/>
    <w:rsid w:val="00F96494"/>
    <w:rsid w:val="00FE6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8B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178B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E209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E209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E2098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78B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A178B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rsid w:val="00A178B5"/>
    <w:rPr>
      <w:rFonts w:asciiTheme="majorHAnsi" w:eastAsiaTheme="majorEastAsia" w:hAnsiTheme="majorHAnsi" w:cstheme="majorBidi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64AA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BA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1C11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BA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A1C1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1C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C11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E20988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E209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E209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E2098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table" w:styleId="Tabela-Siatka">
    <w:name w:val="Table Grid"/>
    <w:basedOn w:val="Standardowy"/>
    <w:uiPriority w:val="59"/>
    <w:rsid w:val="00F964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omylnaczcionkaakapitu"/>
    <w:rsid w:val="0052323A"/>
  </w:style>
  <w:style w:type="paragraph" w:styleId="Akapitzlist">
    <w:name w:val="List Paragraph"/>
    <w:basedOn w:val="Normalny"/>
    <w:uiPriority w:val="34"/>
    <w:qFormat/>
    <w:rsid w:val="008177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37FEE8-5D90-4548-8A58-A6A058A84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635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Użytkownik systemu Windows</cp:lastModifiedBy>
  <cp:revision>2</cp:revision>
  <cp:lastPrinted>2018-06-19T08:22:00Z</cp:lastPrinted>
  <dcterms:created xsi:type="dcterms:W3CDTF">2021-12-14T13:23:00Z</dcterms:created>
  <dcterms:modified xsi:type="dcterms:W3CDTF">2021-12-14T13:23:00Z</dcterms:modified>
</cp:coreProperties>
</file>